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291" w:rsidRPr="0075707D" w:rsidRDefault="00472291" w:rsidP="00472291">
      <w:pPr>
        <w:pStyle w:val="Titel"/>
      </w:pPr>
      <w:r w:rsidRPr="0075707D">
        <w:t>A customizable importer for the clinical data warehouses PaDaWaN and I2B2</w:t>
      </w:r>
    </w:p>
    <w:p w:rsidR="00472291" w:rsidRPr="001E1FCF" w:rsidRDefault="00472291" w:rsidP="00472291">
      <w:pPr>
        <w:pStyle w:val="Author"/>
        <w:ind w:right="85"/>
      </w:pPr>
      <w:r w:rsidRPr="001E1FCF">
        <w:t>G</w:t>
      </w:r>
      <w:r w:rsidR="001E1FCF" w:rsidRPr="001E1FCF">
        <w:t>eorg</w:t>
      </w:r>
      <w:r w:rsidRPr="001E1FCF">
        <w:t xml:space="preserve"> </w:t>
      </w:r>
      <w:proofErr w:type="spellStart"/>
      <w:r w:rsidRPr="001E1FCF">
        <w:t>FETTE</w:t>
      </w:r>
      <w:r w:rsidRPr="001E1FCF">
        <w:rPr>
          <w:vertAlign w:val="superscript"/>
        </w:rPr>
        <w:t>a,b</w:t>
      </w:r>
      <w:proofErr w:type="spellEnd"/>
      <w:r w:rsidR="00E3488C">
        <w:rPr>
          <w:vertAlign w:val="superscript"/>
        </w:rPr>
        <w:t>,</w:t>
      </w:r>
      <w:r w:rsidR="001E1FCF">
        <w:rPr>
          <w:rStyle w:val="Funotenzeichen"/>
        </w:rPr>
        <w:footnoteReference w:id="1"/>
      </w:r>
      <w:r w:rsidRPr="001E1FCF">
        <w:t>, M</w:t>
      </w:r>
      <w:r w:rsidR="001E1FCF" w:rsidRPr="001E1FCF">
        <w:t>athias</w:t>
      </w:r>
      <w:r w:rsidRPr="001E1FCF">
        <w:t xml:space="preserve"> </w:t>
      </w:r>
      <w:proofErr w:type="spellStart"/>
      <w:r w:rsidRPr="001E1FCF">
        <w:t>KASPAR</w:t>
      </w:r>
      <w:r w:rsidRPr="001E1FCF">
        <w:rPr>
          <w:vertAlign w:val="superscript"/>
        </w:rPr>
        <w:t>b</w:t>
      </w:r>
      <w:proofErr w:type="spellEnd"/>
      <w:r w:rsidRPr="001E1FCF">
        <w:t>, G</w:t>
      </w:r>
      <w:r w:rsidR="001E1FCF" w:rsidRPr="001E1FCF">
        <w:t>eorg</w:t>
      </w:r>
      <w:r w:rsidRPr="001E1FCF">
        <w:t xml:space="preserve"> </w:t>
      </w:r>
      <w:proofErr w:type="spellStart"/>
      <w:r w:rsidRPr="001E1FCF">
        <w:t>DIETRICH</w:t>
      </w:r>
      <w:r w:rsidRPr="001E1FCF">
        <w:rPr>
          <w:vertAlign w:val="superscript"/>
        </w:rPr>
        <w:t>a</w:t>
      </w:r>
      <w:proofErr w:type="spellEnd"/>
      <w:r w:rsidRPr="001E1FCF">
        <w:t>, M</w:t>
      </w:r>
      <w:r w:rsidR="001E1FCF" w:rsidRPr="001E1FCF">
        <w:t>aximilian</w:t>
      </w:r>
      <w:r w:rsidRPr="001E1FCF">
        <w:t xml:space="preserve"> </w:t>
      </w:r>
      <w:proofErr w:type="spellStart"/>
      <w:r w:rsidRPr="001E1FCF">
        <w:t>ERTL</w:t>
      </w:r>
      <w:r w:rsidRPr="001E1FCF">
        <w:rPr>
          <w:vertAlign w:val="superscript"/>
        </w:rPr>
        <w:t>b</w:t>
      </w:r>
      <w:proofErr w:type="spellEnd"/>
      <w:r w:rsidRPr="001E1FCF">
        <w:t>, J</w:t>
      </w:r>
      <w:r w:rsidR="001E1FCF" w:rsidRPr="001E1FCF">
        <w:t>onathan</w:t>
      </w:r>
      <w:r w:rsidRPr="001E1FCF">
        <w:t xml:space="preserve"> </w:t>
      </w:r>
      <w:proofErr w:type="spellStart"/>
      <w:r w:rsidRPr="001E1FCF">
        <w:t>KREBS</w:t>
      </w:r>
      <w:r w:rsidRPr="001E1FCF">
        <w:rPr>
          <w:vertAlign w:val="superscript"/>
        </w:rPr>
        <w:t>a</w:t>
      </w:r>
      <w:proofErr w:type="spellEnd"/>
      <w:r w:rsidRPr="001E1FCF">
        <w:t>, S</w:t>
      </w:r>
      <w:r w:rsidR="001E1FCF">
        <w:t>tefan</w:t>
      </w:r>
      <w:r w:rsidRPr="001E1FCF">
        <w:t xml:space="preserve"> </w:t>
      </w:r>
      <w:proofErr w:type="spellStart"/>
      <w:r w:rsidRPr="001E1FCF">
        <w:t>STOERK</w:t>
      </w:r>
      <w:r w:rsidRPr="001E1FCF">
        <w:rPr>
          <w:vertAlign w:val="superscript"/>
        </w:rPr>
        <w:t>b</w:t>
      </w:r>
      <w:proofErr w:type="spellEnd"/>
      <w:r w:rsidRPr="001E1FCF">
        <w:t>, F</w:t>
      </w:r>
      <w:r w:rsidR="001E1FCF">
        <w:t>rank</w:t>
      </w:r>
      <w:r w:rsidRPr="001E1FCF">
        <w:t xml:space="preserve"> </w:t>
      </w:r>
      <w:proofErr w:type="spellStart"/>
      <w:r w:rsidRPr="001E1FCF">
        <w:t>PUPPE</w:t>
      </w:r>
      <w:r w:rsidRPr="001E1FCF">
        <w:rPr>
          <w:vertAlign w:val="superscript"/>
        </w:rPr>
        <w:t>a</w:t>
      </w:r>
      <w:proofErr w:type="spellEnd"/>
    </w:p>
    <w:p w:rsidR="00472291" w:rsidRPr="001E1FCF" w:rsidRDefault="00472291" w:rsidP="00472291">
      <w:pPr>
        <w:pStyle w:val="Author"/>
      </w:pPr>
    </w:p>
    <w:p w:rsidR="00472291" w:rsidRPr="0075707D" w:rsidRDefault="00B05D6E" w:rsidP="00472291">
      <w:pPr>
        <w:pStyle w:val="Affiliation"/>
      </w:pPr>
      <w:proofErr w:type="gramStart"/>
      <w:r>
        <w:rPr>
          <w:i w:val="0"/>
          <w:vertAlign w:val="superscript"/>
        </w:rPr>
        <w:t>a</w:t>
      </w:r>
      <w:proofErr w:type="gramEnd"/>
      <w:r w:rsidR="00A04478">
        <w:rPr>
          <w:i w:val="0"/>
          <w:vertAlign w:val="superscript"/>
        </w:rPr>
        <w:t xml:space="preserve"> </w:t>
      </w:r>
      <w:r w:rsidR="00472291" w:rsidRPr="0075707D">
        <w:t xml:space="preserve">Würzburg University, Chair of Computer Science 6 </w:t>
      </w:r>
    </w:p>
    <w:p w:rsidR="00472291" w:rsidRPr="0075707D" w:rsidRDefault="00472291" w:rsidP="00472291">
      <w:pPr>
        <w:pStyle w:val="Affiliation"/>
      </w:pPr>
      <w:proofErr w:type="gramStart"/>
      <w:r w:rsidRPr="0075707D">
        <w:rPr>
          <w:i w:val="0"/>
          <w:vertAlign w:val="superscript"/>
        </w:rPr>
        <w:t>b</w:t>
      </w:r>
      <w:proofErr w:type="gramEnd"/>
      <w:r w:rsidRPr="0075707D">
        <w:rPr>
          <w:sz w:val="8"/>
          <w:szCs w:val="8"/>
        </w:rPr>
        <w:t xml:space="preserve"> </w:t>
      </w:r>
      <w:r w:rsidRPr="0075707D">
        <w:t xml:space="preserve">University Hospital of Würzburg, Comprehensive Heart Failure Center </w:t>
      </w:r>
    </w:p>
    <w:p w:rsidR="00472291" w:rsidRPr="0075707D" w:rsidRDefault="00472291" w:rsidP="00472291">
      <w:pPr>
        <w:pStyle w:val="Abstract"/>
      </w:pPr>
      <w:r w:rsidRPr="0075707D">
        <w:rPr>
          <w:b/>
        </w:rPr>
        <w:t>Abstract.</w:t>
      </w:r>
      <w:r w:rsidRPr="0075707D">
        <w:t xml:space="preserve"> In recent years, clinical data warehouses (CDW) storing routine patient data have become more and more popular to support scientific work in the medical domain. Although CDW systems provide interfaces to import new data, these interfaces have to be used by</w:t>
      </w:r>
      <w:bookmarkStart w:id="0" w:name="_GoBack"/>
      <w:bookmarkEnd w:id="0"/>
      <w:r w:rsidRPr="0075707D">
        <w:t xml:space="preserve"> processing tools that are often not included in </w:t>
      </w:r>
      <w:r>
        <w:t xml:space="preserve">the </w:t>
      </w:r>
      <w:r w:rsidRPr="0075707D">
        <w:t>systems themselves. In order to establish an extraction-transformation-load (ETL) workflow</w:t>
      </w:r>
      <w:r w:rsidR="00716FA2">
        <w:t>,</w:t>
      </w:r>
      <w:r w:rsidRPr="0075707D">
        <w:t xml:space="preserve"> </w:t>
      </w:r>
      <w:r>
        <w:t xml:space="preserve">already existing </w:t>
      </w:r>
      <w:r w:rsidRPr="0075707D">
        <w:t xml:space="preserve">components have to be </w:t>
      </w:r>
      <w:r>
        <w:t xml:space="preserve">taken </w:t>
      </w:r>
      <w:r w:rsidRPr="0075707D">
        <w:t xml:space="preserve">or </w:t>
      </w:r>
      <w:r>
        <w:t xml:space="preserve">new components have to be </w:t>
      </w:r>
      <w:r w:rsidRPr="0075707D">
        <w:t xml:space="preserve">developed to perform the load part of the ETL. We present a customizable importer for the two CDW systems PaDaWaN and I2B2, which is able to import the most common import formats (plain text, CSV and XML files). </w:t>
      </w:r>
      <w:r>
        <w:t xml:space="preserve">In order to </w:t>
      </w:r>
      <w:r w:rsidR="00BC472C">
        <w:t xml:space="preserve">be </w:t>
      </w:r>
      <w:r>
        <w:t>run</w:t>
      </w:r>
      <w:r w:rsidR="00716FA2">
        <w:t>,</w:t>
      </w:r>
      <w:r>
        <w:t xml:space="preserve"> the importer only needs a configuration file with the user credentials  for the target CDW and a list of XML import configuration files, which determine how </w:t>
      </w:r>
      <w:r w:rsidR="00BC472C">
        <w:t xml:space="preserve">already exported </w:t>
      </w:r>
      <w:r>
        <w:t xml:space="preserve">data is indented to be imported. </w:t>
      </w:r>
      <w:r w:rsidRPr="0075707D">
        <w:t xml:space="preserve">The importer is provided as a Java </w:t>
      </w:r>
      <w:r w:rsidR="00BC472C" w:rsidRPr="0075707D">
        <w:t>program, which</w:t>
      </w:r>
      <w:r w:rsidRPr="0075707D">
        <w:t xml:space="preserve"> has no further software requirements.</w:t>
      </w:r>
    </w:p>
    <w:p w:rsidR="00B05D6E" w:rsidRDefault="00B05D6E" w:rsidP="00472291">
      <w:pPr>
        <w:pStyle w:val="Keywords"/>
      </w:pPr>
      <w:r>
        <w:rPr>
          <w:b/>
        </w:rPr>
        <w:t>Keywords.</w:t>
      </w:r>
      <w:r>
        <w:t xml:space="preserve"> </w:t>
      </w:r>
      <w:proofErr w:type="gramStart"/>
      <w:r w:rsidR="00472291" w:rsidRPr="0075707D">
        <w:t>data</w:t>
      </w:r>
      <w:proofErr w:type="gramEnd"/>
      <w:r w:rsidR="00472291" w:rsidRPr="0075707D">
        <w:t xml:space="preserve"> warehouse, ETL</w:t>
      </w:r>
    </w:p>
    <w:p w:rsidR="00472291" w:rsidRPr="0075707D" w:rsidRDefault="00472291" w:rsidP="00472291">
      <w:pPr>
        <w:pStyle w:val="berschrift1"/>
        <w:numPr>
          <w:ilvl w:val="0"/>
          <w:numId w:val="12"/>
        </w:numPr>
        <w:rPr>
          <w:rFonts w:cs="Times New Roman"/>
        </w:rPr>
      </w:pPr>
      <w:r w:rsidRPr="0075707D">
        <w:rPr>
          <w:rFonts w:cs="Times New Roman"/>
        </w:rPr>
        <w:t>Introduction</w:t>
      </w:r>
    </w:p>
    <w:p w:rsidR="00472291" w:rsidRPr="0075707D" w:rsidRDefault="00472291" w:rsidP="00EF57C0">
      <w:pPr>
        <w:ind w:firstLine="0"/>
      </w:pPr>
      <w:r w:rsidRPr="0075707D">
        <w:t xml:space="preserve">PaDaWaN [1] and I2B2 [2] are clinical data warehouse (CDW) systems, which store their data in an entity attribute value (EAV) model [3]. Both systems can be loaded via a web interface or </w:t>
      </w:r>
      <w:r>
        <w:t>data can be directly written</w:t>
      </w:r>
      <w:r w:rsidRPr="0075707D">
        <w:t xml:space="preserve"> into the respective database table</w:t>
      </w:r>
      <w:r>
        <w:t>s</w:t>
      </w:r>
      <w:r w:rsidRPr="0075707D">
        <w:t xml:space="preserve">. However, further tools are required that read data from a data source (and optionally transform the data as desired) and send it to </w:t>
      </w:r>
      <w:r>
        <w:t xml:space="preserve">an </w:t>
      </w:r>
      <w:r w:rsidRPr="0075707D">
        <w:t xml:space="preserve">import </w:t>
      </w:r>
      <w:r>
        <w:t>interface</w:t>
      </w:r>
      <w:r w:rsidRPr="0075707D">
        <w:t xml:space="preserve"> in order to get the data into the CDW.</w:t>
      </w:r>
    </w:p>
    <w:p w:rsidR="00472291" w:rsidRDefault="006D6739" w:rsidP="00722254">
      <w:pPr>
        <w:ind w:firstLine="0"/>
      </w:pPr>
      <w:r>
        <w:t xml:space="preserve">The goal is </w:t>
      </w:r>
      <w:r w:rsidR="00472291" w:rsidRPr="0075707D">
        <w:t>to provide a</w:t>
      </w:r>
      <w:r w:rsidR="00855EDD">
        <w:t>n</w:t>
      </w:r>
      <w:r w:rsidR="00472291" w:rsidRPr="0075707D">
        <w:t xml:space="preserve"> import tool for PaDaWaN </w:t>
      </w:r>
      <w:r w:rsidR="00855EDD">
        <w:t>as well as I2B2</w:t>
      </w:r>
      <w:r w:rsidR="00421748">
        <w:t>,</w:t>
      </w:r>
      <w:r w:rsidR="00855EDD">
        <w:t xml:space="preserve"> </w:t>
      </w:r>
      <w:r w:rsidR="00472291" w:rsidRPr="0075707D">
        <w:t>which is able to import the most common import data formats</w:t>
      </w:r>
      <w:r>
        <w:t>:</w:t>
      </w:r>
      <w:r w:rsidR="00472291" w:rsidRPr="0075707D">
        <w:t xml:space="preserve"> plain text</w:t>
      </w:r>
      <w:r>
        <w:t xml:space="preserve"> for unstructured data, e.g. discharge letters and reports;</w:t>
      </w:r>
      <w:r w:rsidR="00472291" w:rsidRPr="0075707D">
        <w:t xml:space="preserve"> CSV</w:t>
      </w:r>
      <w:r>
        <w:t xml:space="preserve"> for structured data, e.g. coded diagnoses or laboratory values; </w:t>
      </w:r>
      <w:r w:rsidR="00472291" w:rsidRPr="0075707D">
        <w:t>XML</w:t>
      </w:r>
      <w:r>
        <w:t xml:space="preserve"> for semi structured data, like PMDs (see below), which are the majority of document types at university hospital of Würzburg. The import tool </w:t>
      </w:r>
      <w:r w:rsidR="00421748">
        <w:t>should</w:t>
      </w:r>
      <w:r>
        <w:t xml:space="preserve"> be </w:t>
      </w:r>
      <w:r w:rsidR="00472291" w:rsidRPr="0075707D">
        <w:t>easy to configure, easy to integrate into arbitrary ETL workflows</w:t>
      </w:r>
      <w:r w:rsidR="00421748">
        <w:t>,</w:t>
      </w:r>
      <w:r w:rsidR="00472291" w:rsidRPr="0075707D">
        <w:t xml:space="preserve"> and </w:t>
      </w:r>
      <w:r>
        <w:t xml:space="preserve">should </w:t>
      </w:r>
      <w:r w:rsidR="00472291" w:rsidRPr="0075707D">
        <w:t>not require additional software</w:t>
      </w:r>
      <w:r>
        <w:t>.</w:t>
      </w:r>
    </w:p>
    <w:p w:rsidR="00722254" w:rsidRPr="00722254" w:rsidRDefault="00722254" w:rsidP="00722254">
      <w:pPr>
        <w:pStyle w:val="berschrift1"/>
        <w:numPr>
          <w:ilvl w:val="0"/>
          <w:numId w:val="12"/>
        </w:numPr>
        <w:rPr>
          <w:rFonts w:cs="Times New Roman"/>
        </w:rPr>
      </w:pPr>
      <w:r>
        <w:rPr>
          <w:rFonts w:cs="Times New Roman"/>
        </w:rPr>
        <w:lastRenderedPageBreak/>
        <w:t>State of the art</w:t>
      </w:r>
    </w:p>
    <w:p w:rsidR="006D6739" w:rsidRPr="0075707D" w:rsidRDefault="006D6739" w:rsidP="00722254">
      <w:pPr>
        <w:spacing w:after="240"/>
        <w:ind w:firstLine="0"/>
      </w:pPr>
      <w:r w:rsidRPr="0075707D">
        <w:t xml:space="preserve">IDRT [4] contains an import and mapping tool that can be used to import catalog and fact data into I2B2. The IDRT tool can be </w:t>
      </w:r>
      <w:r>
        <w:t xml:space="preserve">either </w:t>
      </w:r>
      <w:r w:rsidRPr="0075707D">
        <w:t xml:space="preserve">used </w:t>
      </w:r>
      <w:r>
        <w:t xml:space="preserve">as </w:t>
      </w:r>
      <w:r w:rsidRPr="0075707D">
        <w:t>a stand</w:t>
      </w:r>
      <w:r w:rsidR="00421748">
        <w:t>-</w:t>
      </w:r>
      <w:r w:rsidRPr="0075707D">
        <w:t xml:space="preserve">alone desktop application or it can be </w:t>
      </w:r>
      <w:r>
        <w:t xml:space="preserve">used as a component in the ETL suite </w:t>
      </w:r>
      <w:proofErr w:type="spellStart"/>
      <w:r w:rsidRPr="0075707D">
        <w:t>Talend</w:t>
      </w:r>
      <w:proofErr w:type="spellEnd"/>
      <w:r w:rsidRPr="0075707D">
        <w:t xml:space="preserve"> Open Studio</w:t>
      </w:r>
      <w:r w:rsidRPr="0075707D">
        <w:rPr>
          <w:rStyle w:val="Funotenzeichen"/>
        </w:rPr>
        <w:footnoteReference w:id="2"/>
      </w:r>
      <w:r w:rsidRPr="0075707D">
        <w:t>.</w:t>
      </w:r>
      <w:r>
        <w:t xml:space="preserve"> When IDRT is to be integrated in other ETL environments this is not yet possible out of the box. Also IDRT is not able to process arbitrary XML import files.</w:t>
      </w:r>
      <w:r w:rsidR="00722254">
        <w:t xml:space="preserve"> As the IDRT tool is only able to import into the I2B2 data model we chose to create a new importer tool that has a more abstract data model interface and is easier to integrate into arbitrary ETL tools.</w:t>
      </w:r>
    </w:p>
    <w:p w:rsidR="00472291" w:rsidRPr="0075707D" w:rsidRDefault="00472291" w:rsidP="00A928D6">
      <w:pPr>
        <w:pStyle w:val="berschrift1"/>
        <w:numPr>
          <w:ilvl w:val="0"/>
          <w:numId w:val="12"/>
        </w:numPr>
        <w:spacing w:before="0"/>
        <w:rPr>
          <w:rFonts w:cs="Times New Roman"/>
          <w:lang w:eastAsia="en-US"/>
        </w:rPr>
      </w:pPr>
      <w:r w:rsidRPr="0075707D">
        <w:rPr>
          <w:rFonts w:cs="Times New Roman"/>
          <w:lang w:eastAsia="en-US"/>
        </w:rPr>
        <w:t>Methods</w:t>
      </w:r>
    </w:p>
    <w:p w:rsidR="00472291" w:rsidRPr="0075707D" w:rsidRDefault="00472291" w:rsidP="009867C1">
      <w:pPr>
        <w:ind w:firstLine="0"/>
      </w:pPr>
      <w:r w:rsidRPr="0075707D">
        <w:t>The abstract data model of PaDaWaN, which is quite similar to I2B2, is depicted in Figure 1. It consists of a catalog of attributes (concepts; in I2B2 terminology) and a large set of facts (observation facts). Each fact is linked to a catalog attribute (concept) and is attached to a mandatory patient (patient) and, optionally a patient case (encounter) and/or a reference (instance).</w:t>
      </w:r>
    </w:p>
    <w:p w:rsidR="00472291" w:rsidRPr="0075707D" w:rsidRDefault="00E3488C" w:rsidP="001C3EF0">
      <w:pPr>
        <w:ind w:firstLine="0"/>
        <w:jc w:val="center"/>
      </w:pP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4pt;height:118.65pt">
            <v:imagedata r:id="rId8" o:title="AbstrModell"/>
          </v:shape>
        </w:pict>
      </w:r>
    </w:p>
    <w:p w:rsidR="00472291" w:rsidRPr="00A04478" w:rsidRDefault="00472291" w:rsidP="00145935">
      <w:pPr>
        <w:pStyle w:val="CaptionShort"/>
        <w:spacing w:before="0"/>
      </w:pPr>
      <w:r w:rsidRPr="00A04478">
        <w:rPr>
          <w:b/>
        </w:rPr>
        <w:t>Figure 1:</w:t>
      </w:r>
      <w:r w:rsidRPr="00A04478">
        <w:t xml:space="preserve"> Abstract data model of PaDaWaN and I2B2</w:t>
      </w:r>
    </w:p>
    <w:p w:rsidR="0030307E" w:rsidRDefault="00472291" w:rsidP="009867C1">
      <w:pPr>
        <w:spacing w:before="240"/>
        <w:ind w:firstLine="0"/>
      </w:pPr>
      <w:r w:rsidRPr="0075707D">
        <w:t xml:space="preserve">Due to the similar data models, a common </w:t>
      </w:r>
      <w:r w:rsidR="00DC730B">
        <w:t xml:space="preserve">Java </w:t>
      </w:r>
      <w:r w:rsidRPr="0075707D">
        <w:t xml:space="preserve">interface for both PaDaWaN and I2B2 </w:t>
      </w:r>
      <w:r w:rsidR="00E100F4">
        <w:t>was created</w:t>
      </w:r>
      <w:r w:rsidR="00DC730B">
        <w:t xml:space="preserve">. </w:t>
      </w:r>
      <w:r w:rsidR="00C70506">
        <w:t>The interface unites the shared properties of both systems, currently still neglecting some specific details of I2B2</w:t>
      </w:r>
      <w:r w:rsidR="00FB7474">
        <w:t xml:space="preserve"> [5] (</w:t>
      </w:r>
      <w:r w:rsidR="00C70506">
        <w:t xml:space="preserve">e.g. </w:t>
      </w:r>
      <w:r w:rsidR="00FB7474">
        <w:t>PaDaWaN stores only the facts’ measurement timestamps</w:t>
      </w:r>
      <w:r w:rsidR="009867C1">
        <w:t>,</w:t>
      </w:r>
      <w:r w:rsidR="00FB7474">
        <w:t xml:space="preserve"> whereas I2B2 supports start-end-intervals)</w:t>
      </w:r>
      <w:r w:rsidR="00C70506">
        <w:t xml:space="preserve">. Using </w:t>
      </w:r>
      <w:r w:rsidR="00DC730B">
        <w:t xml:space="preserve">this interface </w:t>
      </w:r>
      <w:r w:rsidR="00C70506">
        <w:t xml:space="preserve">adapter </w:t>
      </w:r>
      <w:r w:rsidR="00DC730B">
        <w:t>implementation</w:t>
      </w:r>
      <w:r w:rsidR="00FB7474">
        <w:t>s</w:t>
      </w:r>
      <w:r w:rsidR="00DC730B">
        <w:t xml:space="preserve"> for PaDaWaN, as well as for I2B2 w</w:t>
      </w:r>
      <w:r w:rsidR="00FB7474">
        <w:t>ere</w:t>
      </w:r>
      <w:r w:rsidR="00DC730B">
        <w:t xml:space="preserve"> created</w:t>
      </w:r>
      <w:r w:rsidR="00FB7474">
        <w:t>. T</w:t>
      </w:r>
      <w:r w:rsidRPr="0075707D">
        <w:t xml:space="preserve">he importer can </w:t>
      </w:r>
      <w:r w:rsidR="00716FA2">
        <w:t xml:space="preserve">be configured </w:t>
      </w:r>
      <w:r w:rsidR="00DC730B">
        <w:t>in</w:t>
      </w:r>
      <w:r w:rsidR="00716FA2">
        <w:t xml:space="preserve">to </w:t>
      </w:r>
      <w:r w:rsidR="00DC730B">
        <w:t xml:space="preserve">which target system to </w:t>
      </w:r>
      <w:r w:rsidR="00716FA2">
        <w:t>import into</w:t>
      </w:r>
      <w:r w:rsidRPr="0075707D">
        <w:t>.</w:t>
      </w:r>
      <w:r w:rsidR="009867C1">
        <w:t xml:space="preserve"> </w:t>
      </w:r>
      <w:r w:rsidRPr="0075707D">
        <w:t xml:space="preserve">The importer is realized as a set of configurable Java classes for each data format (plain text, CSV, XML), which are </w:t>
      </w:r>
      <w:r>
        <w:t xml:space="preserve">altogether </w:t>
      </w:r>
      <w:r w:rsidRPr="0075707D">
        <w:t xml:space="preserve">provided </w:t>
      </w:r>
      <w:r w:rsidR="0030307E">
        <w:t>as a .jar-file</w:t>
      </w:r>
      <w:r w:rsidRPr="0075707D">
        <w:t xml:space="preserve">. In order to </w:t>
      </w:r>
      <w:r w:rsidR="00E100F4">
        <w:t xml:space="preserve">be </w:t>
      </w:r>
      <w:r w:rsidRPr="0075707D">
        <w:t>run</w:t>
      </w:r>
      <w:r w:rsidR="00421748">
        <w:t>,</w:t>
      </w:r>
      <w:r w:rsidRPr="0075707D">
        <w:t xml:space="preserve"> the program needs a configuration </w:t>
      </w:r>
      <w:r w:rsidR="0030307E">
        <w:t xml:space="preserve">file </w:t>
      </w:r>
      <w:r w:rsidR="00421748">
        <w:t xml:space="preserve">specifying the import </w:t>
      </w:r>
      <w:r w:rsidRPr="0075707D">
        <w:t xml:space="preserve">target system </w:t>
      </w:r>
      <w:r w:rsidR="00E100F4">
        <w:t xml:space="preserve">(CDW type, Server URL, database name) </w:t>
      </w:r>
      <w:r w:rsidRPr="0075707D">
        <w:t xml:space="preserve">and the corresponding </w:t>
      </w:r>
      <w:r>
        <w:t xml:space="preserve">user </w:t>
      </w:r>
      <w:r w:rsidRPr="0075707D">
        <w:t xml:space="preserve">login credentials. Furthermore, the importer needs </w:t>
      </w:r>
      <w:r w:rsidR="00E100F4">
        <w:t xml:space="preserve">the </w:t>
      </w:r>
      <w:r w:rsidRPr="0075707D">
        <w:t xml:space="preserve">path </w:t>
      </w:r>
      <w:r w:rsidR="00E100F4">
        <w:t>to a file system directory containing</w:t>
      </w:r>
      <w:r w:rsidRPr="0075707D">
        <w:t xml:space="preserve"> import configurations (IC</w:t>
      </w:r>
      <w:r w:rsidR="004E0DF2">
        <w:t>s</w:t>
      </w:r>
      <w:r w:rsidRPr="0075707D">
        <w:t xml:space="preserve">), which define </w:t>
      </w:r>
      <w:r w:rsidR="00E100F4">
        <w:t xml:space="preserve">what </w:t>
      </w:r>
      <w:r w:rsidRPr="0075707D">
        <w:t xml:space="preserve">data </w:t>
      </w:r>
      <w:r>
        <w:t xml:space="preserve">and how </w:t>
      </w:r>
      <w:r w:rsidR="00E100F4">
        <w:t xml:space="preserve">this data </w:t>
      </w:r>
      <w:r w:rsidRPr="0075707D">
        <w:t xml:space="preserve">has to be imported. </w:t>
      </w:r>
      <w:r w:rsidR="009867C1">
        <w:t>Both import parameters are provided to the</w:t>
      </w:r>
      <w:r w:rsidR="0030307E">
        <w:t xml:space="preserve"> </w:t>
      </w:r>
      <w:r w:rsidR="009867C1">
        <w:t xml:space="preserve">.jar-file </w:t>
      </w:r>
      <w:r w:rsidR="0030307E">
        <w:t xml:space="preserve">when started </w:t>
      </w:r>
      <w:r w:rsidR="009867C1">
        <w:t>via command line parameters</w:t>
      </w:r>
      <w:r w:rsidR="0030307E">
        <w:t>.</w:t>
      </w:r>
    </w:p>
    <w:p w:rsidR="00472291" w:rsidRPr="0075707D" w:rsidRDefault="00472291" w:rsidP="0030307E">
      <w:pPr>
        <w:ind w:firstLine="0"/>
      </w:pPr>
      <w:r w:rsidRPr="0075707D">
        <w:t xml:space="preserve">An IC is an XML file, </w:t>
      </w:r>
      <w:r w:rsidR="00716FA2">
        <w:t>providing</w:t>
      </w:r>
      <w:r w:rsidRPr="0075707D">
        <w:t xml:space="preserve"> all necessary information for the import process </w:t>
      </w:r>
      <w:r w:rsidR="00E100F4">
        <w:t xml:space="preserve">for </w:t>
      </w:r>
      <w:r w:rsidRPr="0075707D">
        <w:t xml:space="preserve">one data source. An IC </w:t>
      </w:r>
      <w:r>
        <w:t xml:space="preserve">specifies </w:t>
      </w:r>
      <w:r w:rsidRPr="0075707D">
        <w:t>a file system directory from which the importer import</w:t>
      </w:r>
      <w:r w:rsidR="00E100F4">
        <w:t>s</w:t>
      </w:r>
      <w:r w:rsidRPr="0075707D">
        <w:t xml:space="preserve"> all contained files. All further configuration is dependent on the </w:t>
      </w:r>
      <w:r>
        <w:t xml:space="preserve">data </w:t>
      </w:r>
      <w:r w:rsidRPr="0075707D">
        <w:t>type of the exported data:</w:t>
      </w:r>
    </w:p>
    <w:p w:rsidR="00472291" w:rsidRPr="0075707D" w:rsidRDefault="00472291" w:rsidP="001C3EF0">
      <w:pPr>
        <w:ind w:firstLine="0"/>
      </w:pPr>
      <w:r w:rsidRPr="0075707D">
        <w:rPr>
          <w:b/>
        </w:rPr>
        <w:lastRenderedPageBreak/>
        <w:t>Plain text files</w:t>
      </w:r>
      <w:r w:rsidRPr="0075707D">
        <w:t xml:space="preserve">: The text content of each </w:t>
      </w:r>
      <w:r w:rsidR="00E100F4">
        <w:t xml:space="preserve">file </w:t>
      </w:r>
      <w:r w:rsidRPr="0075707D">
        <w:t>from a given folder is imported as a singl</w:t>
      </w:r>
      <w:r w:rsidR="00E100F4">
        <w:t>e textual fact. The fact’s meta</w:t>
      </w:r>
      <w:r w:rsidRPr="0075707D">
        <w:t xml:space="preserve">data (e.g. patient ID) has to be extracted from </w:t>
      </w:r>
      <w:r w:rsidR="00E100F4">
        <w:t>the</w:t>
      </w:r>
      <w:r w:rsidRPr="0075707D">
        <w:t xml:space="preserve"> file’s filename. The IC has to include regular expressions, which provide the identification of the needed metadata within the filename (e.g. Figure 2).</w:t>
      </w:r>
    </w:p>
    <w:p w:rsidR="00472291" w:rsidRPr="0075707D" w:rsidRDefault="00472291" w:rsidP="001C3EF0">
      <w:pPr>
        <w:ind w:firstLine="0"/>
      </w:pPr>
      <w:r w:rsidRPr="0075707D">
        <w:rPr>
          <w:b/>
        </w:rPr>
        <w:t>Tabular files</w:t>
      </w:r>
      <w:r w:rsidRPr="0075707D">
        <w:t xml:space="preserve">: All files in a given folder are </w:t>
      </w:r>
      <w:r w:rsidR="00E100F4" w:rsidRPr="0075707D">
        <w:t>comma-separated</w:t>
      </w:r>
      <w:r w:rsidR="00E100F4">
        <w:t xml:space="preserve"> value</w:t>
      </w:r>
      <w:r w:rsidRPr="0075707D">
        <w:t xml:space="preserve"> (CSV) </w:t>
      </w:r>
      <w:r w:rsidR="00E100F4" w:rsidRPr="0075707D">
        <w:t>files, which</w:t>
      </w:r>
      <w:r w:rsidRPr="0075707D">
        <w:t xml:space="preserve"> all have </w:t>
      </w:r>
      <w:r w:rsidR="00E100F4">
        <w:t xml:space="preserve">to have </w:t>
      </w:r>
      <w:r w:rsidRPr="0075707D">
        <w:t>the same format. The IC configuration has to contain the syntactical format specific</w:t>
      </w:r>
      <w:r w:rsidR="00515455">
        <w:t xml:space="preserve">ation (e.g. delimiter, encoding, </w:t>
      </w:r>
      <w:r w:rsidRPr="0075707D">
        <w:t>escape characters</w:t>
      </w:r>
      <w:r w:rsidR="00515455">
        <w:t>, etc.</w:t>
      </w:r>
      <w:r w:rsidRPr="0075707D">
        <w:t xml:space="preserve">) and the semantic </w:t>
      </w:r>
      <w:r>
        <w:t xml:space="preserve">format </w:t>
      </w:r>
      <w:r w:rsidRPr="0075707D">
        <w:t xml:space="preserve">specification. Via </w:t>
      </w:r>
      <w:r w:rsidR="00515455">
        <w:t xml:space="preserve">the </w:t>
      </w:r>
      <w:r w:rsidRPr="0075707D">
        <w:t xml:space="preserve">tabular files </w:t>
      </w:r>
      <w:r w:rsidR="00515455">
        <w:t xml:space="preserve">importer </w:t>
      </w:r>
      <w:r w:rsidRPr="0075707D">
        <w:t>the following data can be imported:</w:t>
      </w:r>
    </w:p>
    <w:p w:rsidR="00472291" w:rsidRPr="009867C1" w:rsidRDefault="00472291" w:rsidP="0030307E">
      <w:pPr>
        <w:pStyle w:val="Listbul"/>
        <w:numPr>
          <w:ilvl w:val="0"/>
          <w:numId w:val="15"/>
        </w:numPr>
      </w:pPr>
      <w:r w:rsidRPr="009867C1">
        <w:rPr>
          <w:b/>
          <w:i/>
        </w:rPr>
        <w:t>Catalog data</w:t>
      </w:r>
      <w:r w:rsidRPr="009867C1">
        <w:t xml:space="preserve">: The catalog for a specific </w:t>
      </w:r>
      <w:r w:rsidR="00E100F4" w:rsidRPr="009867C1">
        <w:t xml:space="preserve">CDW </w:t>
      </w:r>
      <w:r w:rsidRPr="009867C1">
        <w:t>domain can be imported from a tabular file. The IC has to determine which columns in the CSV file shall be interpreted as the name, the catalog attribute ID, the data type, the unit or further information that is needed for the creation of catalog entries.</w:t>
      </w:r>
    </w:p>
    <w:p w:rsidR="00472291" w:rsidRPr="009867C1" w:rsidRDefault="00472291" w:rsidP="0030307E">
      <w:pPr>
        <w:pStyle w:val="Listbul"/>
        <w:numPr>
          <w:ilvl w:val="0"/>
          <w:numId w:val="15"/>
        </w:numPr>
      </w:pPr>
      <w:r w:rsidRPr="0030307E">
        <w:rPr>
          <w:b/>
          <w:i/>
        </w:rPr>
        <w:t>Fact data</w:t>
      </w:r>
      <w:r w:rsidRPr="009867C1">
        <w:t xml:space="preserve">: For the import of fact data from a CSV file the IC has to specify which columns contain the catalog attribute ID, values, </w:t>
      </w:r>
      <w:r w:rsidR="00421748" w:rsidRPr="009867C1">
        <w:t>measuring</w:t>
      </w:r>
      <w:r w:rsidRPr="009867C1">
        <w:t xml:space="preserve"> time</w:t>
      </w:r>
      <w:r w:rsidR="00421748" w:rsidRPr="009867C1">
        <w:t xml:space="preserve"> </w:t>
      </w:r>
      <w:r w:rsidRPr="009867C1">
        <w:t>stamps</w:t>
      </w:r>
      <w:r w:rsidR="00421748" w:rsidRPr="009867C1">
        <w:t xml:space="preserve"> of each fact</w:t>
      </w:r>
      <w:r w:rsidRPr="009867C1">
        <w:t>, etc. (e.g. Figure 2).</w:t>
      </w:r>
    </w:p>
    <w:p w:rsidR="00472291" w:rsidRPr="009867C1" w:rsidRDefault="00472291" w:rsidP="0030307E">
      <w:pPr>
        <w:pStyle w:val="Listbul"/>
        <w:numPr>
          <w:ilvl w:val="0"/>
          <w:numId w:val="15"/>
        </w:numPr>
      </w:pPr>
      <w:r w:rsidRPr="009867C1">
        <w:rPr>
          <w:b/>
          <w:i/>
        </w:rPr>
        <w:t>Import-metadata</w:t>
      </w:r>
      <w:r w:rsidRPr="009867C1">
        <w:t>: To ease the import of some data sources, patient-, case- and document-metadata can be imported into dedicated import</w:t>
      </w:r>
      <w:r w:rsidR="00E100F4" w:rsidRPr="009867C1">
        <w:t>-metadata</w:t>
      </w:r>
      <w:r w:rsidRPr="009867C1">
        <w:t xml:space="preserve"> database tables. These tables can be </w:t>
      </w:r>
      <w:r w:rsidR="00E100F4" w:rsidRPr="009867C1">
        <w:t xml:space="preserve">used </w:t>
      </w:r>
      <w:r w:rsidRPr="009867C1">
        <w:t xml:space="preserve">when the importer is importing data </w:t>
      </w:r>
      <w:r w:rsidR="00E100F4" w:rsidRPr="009867C1">
        <w:t xml:space="preserve">lacking necessary information, </w:t>
      </w:r>
      <w:r w:rsidRPr="009867C1">
        <w:t xml:space="preserve">e.g. only case IDs </w:t>
      </w:r>
      <w:r w:rsidR="009B491B" w:rsidRPr="009867C1">
        <w:t xml:space="preserve">are provided instead of </w:t>
      </w:r>
      <w:r w:rsidRPr="009867C1">
        <w:t xml:space="preserve">patient IDs. </w:t>
      </w:r>
      <w:r w:rsidR="0030307E">
        <w:t>T</w:t>
      </w:r>
      <w:r w:rsidR="009B491B" w:rsidRPr="009867C1">
        <w:t>he importer can obtain</w:t>
      </w:r>
      <w:r w:rsidRPr="009867C1">
        <w:t xml:space="preserve"> the corresponding patient IDs from the import-metadata. Another example </w:t>
      </w:r>
      <w:r w:rsidR="00515455" w:rsidRPr="009867C1">
        <w:t xml:space="preserve">is </w:t>
      </w:r>
      <w:r w:rsidR="009B491B" w:rsidRPr="009867C1">
        <w:t xml:space="preserve">in case </w:t>
      </w:r>
      <w:r w:rsidRPr="009867C1">
        <w:t>the source data only contains fact measurement time</w:t>
      </w:r>
      <w:r w:rsidR="00421748" w:rsidRPr="009867C1">
        <w:t xml:space="preserve"> </w:t>
      </w:r>
      <w:r w:rsidRPr="009867C1">
        <w:t>stamp</w:t>
      </w:r>
      <w:r w:rsidR="009B491B" w:rsidRPr="009867C1">
        <w:t>s</w:t>
      </w:r>
      <w:r w:rsidRPr="009867C1">
        <w:t xml:space="preserve"> and no </w:t>
      </w:r>
      <w:r w:rsidR="009B491B" w:rsidRPr="009867C1">
        <w:t xml:space="preserve">corresponding </w:t>
      </w:r>
      <w:r w:rsidRPr="009867C1">
        <w:t xml:space="preserve">case IDs. The </w:t>
      </w:r>
      <w:r w:rsidR="009B491B" w:rsidRPr="009867C1">
        <w:t xml:space="preserve">lacking </w:t>
      </w:r>
      <w:r w:rsidRPr="009867C1">
        <w:t>case</w:t>
      </w:r>
      <w:r w:rsidR="0000203B" w:rsidRPr="009867C1">
        <w:t xml:space="preserve"> </w:t>
      </w:r>
      <w:r w:rsidR="004E0DF2" w:rsidRPr="009867C1">
        <w:t>ID</w:t>
      </w:r>
      <w:r w:rsidRPr="009867C1">
        <w:t xml:space="preserve"> </w:t>
      </w:r>
      <w:r w:rsidR="004E0DF2" w:rsidRPr="009867C1">
        <w:t xml:space="preserve">for a given fact measurement timestamp </w:t>
      </w:r>
      <w:r w:rsidRPr="009867C1">
        <w:t xml:space="preserve">can be calculated by taking the temporally nearest case from the </w:t>
      </w:r>
      <w:r w:rsidR="009B491B" w:rsidRPr="009867C1">
        <w:t xml:space="preserve">import-metadata </w:t>
      </w:r>
      <w:r w:rsidRPr="009867C1">
        <w:t>tables.</w:t>
      </w:r>
    </w:p>
    <w:p w:rsidR="00472291" w:rsidRPr="009867C1" w:rsidRDefault="00472291" w:rsidP="0030307E">
      <w:pPr>
        <w:pStyle w:val="Listbul"/>
        <w:numPr>
          <w:ilvl w:val="0"/>
          <w:numId w:val="15"/>
        </w:numPr>
      </w:pPr>
      <w:r w:rsidRPr="009867C1">
        <w:rPr>
          <w:b/>
          <w:i/>
        </w:rPr>
        <w:t>Age</w:t>
      </w:r>
      <w:r w:rsidRPr="009867C1">
        <w:t xml:space="preserve">: </w:t>
      </w:r>
      <w:r w:rsidR="0030307E">
        <w:t>T</w:t>
      </w:r>
      <w:r w:rsidRPr="009867C1">
        <w:t xml:space="preserve">he stored age for each case is the patient’s age at the beginning of the respective case. For this calculation, the patient’s </w:t>
      </w:r>
      <w:r w:rsidR="00421748" w:rsidRPr="009867C1">
        <w:t xml:space="preserve">date of </w:t>
      </w:r>
      <w:r w:rsidRPr="009867C1">
        <w:t>birth from the import-metadata tables is used.</w:t>
      </w:r>
    </w:p>
    <w:p w:rsidR="00472291" w:rsidRPr="009867C1" w:rsidRDefault="00472291" w:rsidP="0030307E">
      <w:pPr>
        <w:pStyle w:val="Listbul"/>
        <w:numPr>
          <w:ilvl w:val="0"/>
          <w:numId w:val="15"/>
        </w:numPr>
      </w:pPr>
      <w:r w:rsidRPr="009867C1">
        <w:rPr>
          <w:b/>
          <w:i/>
        </w:rPr>
        <w:t>Authorization data</w:t>
      </w:r>
      <w:r w:rsidRPr="009867C1">
        <w:t xml:space="preserve">: PaDaWaN possesses an authorization concept </w:t>
      </w:r>
      <w:r w:rsidR="004E0DF2" w:rsidRPr="009867C1">
        <w:t xml:space="preserve">managing </w:t>
      </w:r>
      <w:r w:rsidRPr="009867C1">
        <w:t xml:space="preserve">users, groups, memberships of users to groups and accessibilities </w:t>
      </w:r>
      <w:r w:rsidR="009B491B" w:rsidRPr="009867C1">
        <w:t xml:space="preserve">to </w:t>
      </w:r>
      <w:r w:rsidRPr="009867C1">
        <w:t>catalog attribute</w:t>
      </w:r>
      <w:r w:rsidR="009B491B" w:rsidRPr="009867C1">
        <w:t>s</w:t>
      </w:r>
      <w:r w:rsidRPr="009867C1">
        <w:t xml:space="preserve"> for each group. All information </w:t>
      </w:r>
      <w:r w:rsidR="00515455" w:rsidRPr="009867C1">
        <w:t xml:space="preserve">belonging to those domains </w:t>
      </w:r>
      <w:r w:rsidRPr="009867C1">
        <w:t xml:space="preserve">can be </w:t>
      </w:r>
      <w:r w:rsidR="009B491B" w:rsidRPr="009867C1">
        <w:t xml:space="preserve">also be </w:t>
      </w:r>
      <w:r w:rsidRPr="009867C1">
        <w:t xml:space="preserve">imported via </w:t>
      </w:r>
      <w:r w:rsidR="00515455" w:rsidRPr="009867C1">
        <w:t xml:space="preserve">the </w:t>
      </w:r>
      <w:r w:rsidRPr="009867C1">
        <w:t>tabular files</w:t>
      </w:r>
      <w:r w:rsidR="00515455" w:rsidRPr="009867C1">
        <w:t xml:space="preserve"> importer</w:t>
      </w:r>
      <w:r w:rsidRPr="009867C1">
        <w:t>.</w:t>
      </w:r>
    </w:p>
    <w:p w:rsidR="00BD75E6" w:rsidRDefault="00472291" w:rsidP="001C3EF0">
      <w:pPr>
        <w:spacing w:after="240"/>
        <w:ind w:firstLine="0"/>
      </w:pPr>
      <w:r w:rsidRPr="0075707D">
        <w:rPr>
          <w:b/>
        </w:rPr>
        <w:t>XML files:</w:t>
      </w:r>
      <w:r w:rsidRPr="0075707D">
        <w:t xml:space="preserve"> All files in a given folder </w:t>
      </w:r>
      <w:r w:rsidR="009B491B">
        <w:t xml:space="preserve">have to be </w:t>
      </w:r>
      <w:r w:rsidRPr="0075707D">
        <w:t xml:space="preserve">XML files with the same XML schema. </w:t>
      </w:r>
      <w:r w:rsidR="009B491B">
        <w:t>T</w:t>
      </w:r>
      <w:r w:rsidRPr="0075707D">
        <w:t xml:space="preserve">he IC </w:t>
      </w:r>
      <w:r>
        <w:t xml:space="preserve">specifies </w:t>
      </w:r>
      <w:r w:rsidRPr="0075707D">
        <w:t>a list of tuples (XML tag, XML attribute1, XML attribute2)</w:t>
      </w:r>
      <w:r w:rsidR="009B491B">
        <w:t>, which are searched for when t</w:t>
      </w:r>
      <w:r w:rsidRPr="0075707D">
        <w:t xml:space="preserve">he importer traverses the XML </w:t>
      </w:r>
      <w:r w:rsidR="009B491B">
        <w:t>during import. F</w:t>
      </w:r>
      <w:r w:rsidRPr="0075707D">
        <w:t>or each tag, which</w:t>
      </w:r>
      <w:r>
        <w:t xml:space="preserve"> is </w:t>
      </w:r>
      <w:r w:rsidRPr="0075707D">
        <w:t xml:space="preserve">contained in the list </w:t>
      </w:r>
      <w:r>
        <w:t xml:space="preserve">of tuples, </w:t>
      </w:r>
      <w:r w:rsidRPr="0075707D">
        <w:t>a fact is created with the catalog attribute identi</w:t>
      </w:r>
      <w:r w:rsidR="004E0DF2">
        <w:t>fier given by the XML attribute</w:t>
      </w:r>
      <w:r w:rsidRPr="0075707D">
        <w:t>1 and the fact v</w:t>
      </w:r>
      <w:r w:rsidR="004E0DF2">
        <w:t>alue given by the XML attribute</w:t>
      </w:r>
      <w:r w:rsidRPr="0075707D">
        <w:t xml:space="preserve">2. </w:t>
      </w:r>
      <w:r>
        <w:t>Additional fact meta</w:t>
      </w:r>
      <w:r w:rsidRPr="0075707D">
        <w:t>data (e.g. measure timestamp, patient identifier, etc.) have to be extracted from the filename of the XML file, as</w:t>
      </w:r>
      <w:r>
        <w:t xml:space="preserve"> it is done for plain</w:t>
      </w:r>
      <w:r w:rsidRPr="0075707D">
        <w:t xml:space="preserve"> text files.</w:t>
      </w:r>
    </w:p>
    <w:tbl>
      <w:tblPr>
        <w:tblW w:w="6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tblGrid>
      <w:tr w:rsidR="0000203B" w:rsidRPr="0075707D" w:rsidTr="00074063">
        <w:trPr>
          <w:trHeight w:val="1512"/>
          <w:jc w:val="center"/>
        </w:trPr>
        <w:tc>
          <w:tcPr>
            <w:tcW w:w="6973" w:type="dxa"/>
            <w:shd w:val="clear" w:color="auto" w:fill="auto"/>
          </w:tcPr>
          <w:p w:rsidR="0000203B" w:rsidRPr="00DE30B2" w:rsidRDefault="0000203B" w:rsidP="00F972A2">
            <w:pPr>
              <w:ind w:left="155" w:firstLine="0"/>
              <w:jc w:val="left"/>
              <w:rPr>
                <w:rFonts w:eastAsia="Calibri"/>
                <w:sz w:val="16"/>
                <w:szCs w:val="16"/>
              </w:rPr>
            </w:pPr>
            <w:r w:rsidRPr="00DE30B2">
              <w:rPr>
                <w:rFonts w:eastAsia="Calibri"/>
                <w:sz w:val="16"/>
                <w:szCs w:val="16"/>
              </w:rPr>
              <w:t>&lt;</w:t>
            </w:r>
            <w:proofErr w:type="spellStart"/>
            <w:r w:rsidRPr="00DE30B2">
              <w:rPr>
                <w:rFonts w:eastAsia="Calibri"/>
                <w:sz w:val="16"/>
                <w:szCs w:val="16"/>
              </w:rPr>
              <w:t>ImportConfig</w:t>
            </w:r>
            <w:proofErr w:type="spellEnd"/>
            <w:r w:rsidRPr="00DE30B2">
              <w:rPr>
                <w:rFonts w:eastAsia="Calibri"/>
                <w:sz w:val="16"/>
                <w:szCs w:val="16"/>
              </w:rPr>
              <w:t>&gt;</w:t>
            </w:r>
          </w:p>
          <w:p w:rsidR="0000203B" w:rsidRPr="00DE30B2" w:rsidRDefault="0000203B" w:rsidP="00F92A23">
            <w:pPr>
              <w:ind w:left="722" w:hanging="352"/>
              <w:jc w:val="left"/>
              <w:rPr>
                <w:rFonts w:eastAsia="Calibri"/>
                <w:sz w:val="16"/>
                <w:szCs w:val="16"/>
              </w:rPr>
            </w:pPr>
            <w:r w:rsidRPr="00DE30B2">
              <w:rPr>
                <w:rFonts w:eastAsia="Calibri"/>
                <w:sz w:val="16"/>
                <w:szCs w:val="16"/>
              </w:rPr>
              <w:t>&lt;</w:t>
            </w:r>
            <w:proofErr w:type="spellStart"/>
            <w:r w:rsidRPr="00DE30B2">
              <w:rPr>
                <w:rFonts w:eastAsia="Calibri"/>
                <w:sz w:val="16"/>
                <w:szCs w:val="16"/>
              </w:rPr>
              <w:t>Data</w:t>
            </w:r>
            <w:r w:rsidR="00F972A2">
              <w:rPr>
                <w:rFonts w:eastAsia="Calibri"/>
                <w:sz w:val="16"/>
                <w:szCs w:val="16"/>
              </w:rPr>
              <w:t>CSV</w:t>
            </w:r>
            <w:proofErr w:type="spellEnd"/>
            <w:r w:rsidRPr="00DE30B2">
              <w:rPr>
                <w:rFonts w:eastAsia="Calibri"/>
                <w:sz w:val="16"/>
                <w:szCs w:val="16"/>
              </w:rPr>
              <w:t xml:space="preserve"> </w:t>
            </w:r>
            <w:r w:rsidR="00F972A2" w:rsidRPr="00DE30B2">
              <w:rPr>
                <w:rFonts w:eastAsia="Calibri"/>
                <w:sz w:val="16"/>
                <w:szCs w:val="16"/>
              </w:rPr>
              <w:t>Project="Diagnose"</w:t>
            </w:r>
            <w:r w:rsidR="00F972A2">
              <w:rPr>
                <w:rFonts w:eastAsia="Calibri"/>
                <w:sz w:val="16"/>
                <w:szCs w:val="16"/>
              </w:rPr>
              <w:t xml:space="preserve"> </w:t>
            </w:r>
            <w:r w:rsidRPr="00DE30B2">
              <w:rPr>
                <w:rFonts w:eastAsia="Calibri"/>
                <w:sz w:val="16"/>
                <w:szCs w:val="16"/>
              </w:rPr>
              <w:t>Dir="</w:t>
            </w:r>
            <w:proofErr w:type="spellStart"/>
            <w:r w:rsidRPr="00DE30B2">
              <w:rPr>
                <w:rFonts w:eastAsia="Calibri"/>
                <w:sz w:val="16"/>
                <w:szCs w:val="16"/>
              </w:rPr>
              <w:t>DiagExport</w:t>
            </w:r>
            <w:proofErr w:type="spellEnd"/>
            <w:r w:rsidRPr="00DE30B2">
              <w:rPr>
                <w:rFonts w:eastAsia="Calibri"/>
                <w:sz w:val="16"/>
                <w:szCs w:val="16"/>
              </w:rPr>
              <w:t xml:space="preserve">" </w:t>
            </w:r>
            <w:proofErr w:type="spellStart"/>
            <w:r w:rsidRPr="00DE30B2">
              <w:rPr>
                <w:rFonts w:eastAsia="Calibri"/>
                <w:sz w:val="16"/>
                <w:szCs w:val="16"/>
              </w:rPr>
              <w:t>AttrIDCol</w:t>
            </w:r>
            <w:r w:rsidR="00301689">
              <w:rPr>
                <w:rFonts w:eastAsia="Calibri"/>
                <w:sz w:val="16"/>
                <w:szCs w:val="16"/>
              </w:rPr>
              <w:t>umn</w:t>
            </w:r>
            <w:proofErr w:type="spellEnd"/>
            <w:r w:rsidR="00301689">
              <w:rPr>
                <w:rFonts w:eastAsia="Calibri"/>
                <w:sz w:val="16"/>
                <w:szCs w:val="16"/>
              </w:rPr>
              <w:t xml:space="preserve">="DKEY1" </w:t>
            </w:r>
            <w:proofErr w:type="spellStart"/>
            <w:r w:rsidR="00301689">
              <w:rPr>
                <w:rFonts w:eastAsia="Calibri"/>
                <w:sz w:val="16"/>
                <w:szCs w:val="16"/>
              </w:rPr>
              <w:t>ValueColumn</w:t>
            </w:r>
            <w:proofErr w:type="spellEnd"/>
            <w:r w:rsidR="00301689">
              <w:rPr>
                <w:rFonts w:eastAsia="Calibri"/>
                <w:sz w:val="16"/>
                <w:szCs w:val="16"/>
              </w:rPr>
              <w:t xml:space="preserve">="DITXT" </w:t>
            </w:r>
            <w:proofErr w:type="spellStart"/>
            <w:r w:rsidRPr="00DE30B2">
              <w:rPr>
                <w:rFonts w:eastAsia="Calibri"/>
                <w:sz w:val="16"/>
                <w:szCs w:val="16"/>
              </w:rPr>
              <w:t>CaseIDColumn</w:t>
            </w:r>
            <w:proofErr w:type="spellEnd"/>
            <w:r w:rsidRPr="00DE30B2">
              <w:rPr>
                <w:rFonts w:eastAsia="Calibri"/>
                <w:sz w:val="16"/>
                <w:szCs w:val="16"/>
              </w:rPr>
              <w:t xml:space="preserve">="PFALNR" </w:t>
            </w:r>
            <w:proofErr w:type="spellStart"/>
            <w:r w:rsidRPr="00DE30B2">
              <w:rPr>
                <w:rFonts w:eastAsia="Calibri"/>
                <w:sz w:val="16"/>
                <w:szCs w:val="16"/>
              </w:rPr>
              <w:t>MeasureTimestampColumn</w:t>
            </w:r>
            <w:proofErr w:type="spellEnd"/>
            <w:r w:rsidRPr="00DE30B2">
              <w:rPr>
                <w:rFonts w:eastAsia="Calibri"/>
                <w:sz w:val="16"/>
                <w:szCs w:val="16"/>
              </w:rPr>
              <w:t xml:space="preserve">="DIADTZT" </w:t>
            </w:r>
            <w:proofErr w:type="spellStart"/>
            <w:r w:rsidRPr="00DE30B2">
              <w:rPr>
                <w:rFonts w:eastAsia="Calibri"/>
                <w:sz w:val="16"/>
                <w:szCs w:val="16"/>
              </w:rPr>
              <w:t>MeasureTimestampFormat</w:t>
            </w:r>
            <w:proofErr w:type="spellEnd"/>
            <w:r w:rsidRPr="00DE30B2">
              <w:rPr>
                <w:rFonts w:eastAsia="Calibri"/>
                <w:sz w:val="16"/>
                <w:szCs w:val="16"/>
              </w:rPr>
              <w:t>="</w:t>
            </w:r>
            <w:proofErr w:type="spellStart"/>
            <w:r w:rsidRPr="00DE30B2">
              <w:rPr>
                <w:rFonts w:eastAsia="Calibri"/>
                <w:sz w:val="16"/>
                <w:szCs w:val="16"/>
              </w:rPr>
              <w:t>yyyyMMddhhmmss</w:t>
            </w:r>
            <w:proofErr w:type="spellEnd"/>
            <w:r w:rsidRPr="00DE30B2">
              <w:rPr>
                <w:rFonts w:eastAsia="Calibri"/>
                <w:sz w:val="16"/>
                <w:szCs w:val="16"/>
              </w:rPr>
              <w:t>" Encoding="UTF8" /&gt;</w:t>
            </w:r>
          </w:p>
          <w:p w:rsidR="0000203B" w:rsidRPr="00DE30B2" w:rsidRDefault="0000203B" w:rsidP="00F92A23">
            <w:pPr>
              <w:ind w:left="722" w:hanging="491"/>
              <w:jc w:val="left"/>
              <w:rPr>
                <w:rFonts w:eastAsia="Calibri"/>
                <w:sz w:val="16"/>
                <w:szCs w:val="16"/>
              </w:rPr>
            </w:pPr>
            <w:r w:rsidRPr="00DE30B2">
              <w:rPr>
                <w:rFonts w:eastAsia="Calibri"/>
                <w:sz w:val="16"/>
                <w:szCs w:val="16"/>
              </w:rPr>
              <w:t xml:space="preserve">    &lt;</w:t>
            </w:r>
            <w:proofErr w:type="spellStart"/>
            <w:r w:rsidRPr="00DE30B2">
              <w:rPr>
                <w:rFonts w:eastAsia="Calibri"/>
                <w:sz w:val="16"/>
                <w:szCs w:val="16"/>
              </w:rPr>
              <w:t>Data</w:t>
            </w:r>
            <w:r w:rsidR="00F972A2">
              <w:rPr>
                <w:rFonts w:eastAsia="Calibri"/>
                <w:sz w:val="16"/>
                <w:szCs w:val="16"/>
              </w:rPr>
              <w:t>Text</w:t>
            </w:r>
            <w:proofErr w:type="spellEnd"/>
            <w:r w:rsidRPr="00DE30B2">
              <w:rPr>
                <w:rFonts w:eastAsia="Calibri"/>
                <w:sz w:val="16"/>
                <w:szCs w:val="16"/>
              </w:rPr>
              <w:t xml:space="preserve"> Project="</w:t>
            </w:r>
            <w:proofErr w:type="spellStart"/>
            <w:r w:rsidRPr="00DE30B2">
              <w:rPr>
                <w:rFonts w:eastAsia="Calibri"/>
                <w:sz w:val="16"/>
                <w:szCs w:val="16"/>
              </w:rPr>
              <w:t>Arztbriefe</w:t>
            </w:r>
            <w:proofErr w:type="spellEnd"/>
            <w:r w:rsidRPr="00DE30B2">
              <w:rPr>
                <w:rFonts w:eastAsia="Calibri"/>
                <w:sz w:val="16"/>
                <w:szCs w:val="16"/>
              </w:rPr>
              <w:t>" Dir="</w:t>
            </w:r>
            <w:proofErr w:type="spellStart"/>
            <w:r w:rsidRPr="00DE30B2">
              <w:rPr>
                <w:rFonts w:eastAsia="Calibri"/>
                <w:sz w:val="16"/>
                <w:szCs w:val="16"/>
              </w:rPr>
              <w:t>BriefExport</w:t>
            </w:r>
            <w:proofErr w:type="spellEnd"/>
            <w:r w:rsidRPr="00DE30B2">
              <w:rPr>
                <w:rFonts w:eastAsia="Calibri"/>
                <w:sz w:val="16"/>
                <w:szCs w:val="16"/>
              </w:rPr>
              <w:t xml:space="preserve">" </w:t>
            </w:r>
            <w:proofErr w:type="spellStart"/>
            <w:r w:rsidRPr="00DE30B2">
              <w:rPr>
                <w:rFonts w:eastAsia="Calibri"/>
                <w:sz w:val="16"/>
                <w:szCs w:val="16"/>
              </w:rPr>
              <w:t>AttrID</w:t>
            </w:r>
            <w:proofErr w:type="spellEnd"/>
            <w:r w:rsidRPr="00DE30B2">
              <w:rPr>
                <w:rFonts w:eastAsia="Calibri"/>
                <w:sz w:val="16"/>
                <w:szCs w:val="16"/>
              </w:rPr>
              <w:t>="</w:t>
            </w:r>
            <w:proofErr w:type="spellStart"/>
            <w:r w:rsidRPr="00DE30B2">
              <w:rPr>
                <w:rFonts w:eastAsia="Calibri"/>
                <w:sz w:val="16"/>
                <w:szCs w:val="16"/>
              </w:rPr>
              <w:t>Brieftext</w:t>
            </w:r>
            <w:proofErr w:type="spellEnd"/>
            <w:r w:rsidRPr="00DE30B2">
              <w:rPr>
                <w:rFonts w:eastAsia="Calibri"/>
                <w:sz w:val="16"/>
                <w:szCs w:val="16"/>
              </w:rPr>
              <w:t xml:space="preserve">" </w:t>
            </w:r>
            <w:proofErr w:type="spellStart"/>
            <w:r w:rsidRPr="00DE30B2">
              <w:rPr>
                <w:rFonts w:eastAsia="Calibri"/>
                <w:sz w:val="16"/>
                <w:szCs w:val="16"/>
              </w:rPr>
              <w:t>DocIDRegex</w:t>
            </w:r>
            <w:proofErr w:type="spellEnd"/>
            <w:r w:rsidRPr="00DE30B2">
              <w:rPr>
                <w:rFonts w:eastAsia="Calibri"/>
                <w:sz w:val="16"/>
                <w:szCs w:val="16"/>
              </w:rPr>
              <w:t xml:space="preserve">="^(\d+)_.*" </w:t>
            </w:r>
            <w:r w:rsidR="00753D62" w:rsidRPr="00DE30B2">
              <w:rPr>
                <w:rFonts w:eastAsia="Calibri"/>
                <w:sz w:val="16"/>
                <w:szCs w:val="16"/>
              </w:rPr>
              <w:t xml:space="preserve">Encoding="UTF8" </w:t>
            </w:r>
            <w:r w:rsidRPr="00DE30B2">
              <w:rPr>
                <w:rFonts w:eastAsia="Calibri"/>
                <w:sz w:val="16"/>
                <w:szCs w:val="16"/>
              </w:rPr>
              <w:t>/&gt;</w:t>
            </w:r>
          </w:p>
          <w:p w:rsidR="0000203B" w:rsidRPr="00DE30B2" w:rsidRDefault="0000203B" w:rsidP="001C3EF0">
            <w:pPr>
              <w:ind w:left="231" w:firstLine="0"/>
              <w:jc w:val="left"/>
              <w:rPr>
                <w:rFonts w:eastAsia="Calibri"/>
                <w:szCs w:val="20"/>
              </w:rPr>
            </w:pPr>
            <w:r w:rsidRPr="00DE30B2">
              <w:rPr>
                <w:rFonts w:eastAsia="Calibri"/>
                <w:sz w:val="16"/>
                <w:szCs w:val="16"/>
              </w:rPr>
              <w:t>&lt;/</w:t>
            </w:r>
            <w:proofErr w:type="spellStart"/>
            <w:r w:rsidRPr="00DE30B2">
              <w:rPr>
                <w:rFonts w:eastAsia="Calibri"/>
                <w:sz w:val="16"/>
                <w:szCs w:val="16"/>
              </w:rPr>
              <w:t>ImportConfig</w:t>
            </w:r>
            <w:proofErr w:type="spellEnd"/>
            <w:r w:rsidRPr="00DE30B2">
              <w:rPr>
                <w:rFonts w:eastAsia="Calibri"/>
                <w:sz w:val="16"/>
                <w:szCs w:val="16"/>
              </w:rPr>
              <w:t>&gt;</w:t>
            </w:r>
          </w:p>
        </w:tc>
      </w:tr>
    </w:tbl>
    <w:p w:rsidR="00A04478" w:rsidRPr="001C3EF0" w:rsidRDefault="0000203B" w:rsidP="00301689">
      <w:pPr>
        <w:pStyle w:val="CaptionShort"/>
      </w:pPr>
      <w:r w:rsidRPr="0000203B">
        <w:rPr>
          <w:b/>
        </w:rPr>
        <w:t>Figure 2:</w:t>
      </w:r>
      <w:r w:rsidRPr="0000203B">
        <w:t xml:space="preserve"> Example </w:t>
      </w:r>
      <w:r>
        <w:t xml:space="preserve">of </w:t>
      </w:r>
      <w:r w:rsidRPr="0000203B">
        <w:t xml:space="preserve">an import configuration including </w:t>
      </w:r>
      <w:r>
        <w:t xml:space="preserve">a </w:t>
      </w:r>
      <w:r w:rsidRPr="0000203B">
        <w:t xml:space="preserve">CSV data source and </w:t>
      </w:r>
      <w:r>
        <w:t xml:space="preserve">a </w:t>
      </w:r>
      <w:r w:rsidRPr="0000203B">
        <w:t>plain text data source</w:t>
      </w:r>
    </w:p>
    <w:p w:rsidR="00472291" w:rsidRPr="0075707D" w:rsidRDefault="009B491B" w:rsidP="00A928D6">
      <w:pPr>
        <w:spacing w:before="240" w:after="240"/>
        <w:ind w:firstLine="0"/>
      </w:pPr>
      <w:r>
        <w:lastRenderedPageBreak/>
        <w:t xml:space="preserve">When </w:t>
      </w:r>
      <w:r w:rsidR="00965FEB">
        <w:t xml:space="preserve">run, </w:t>
      </w:r>
      <w:r w:rsidR="00472291" w:rsidRPr="0075707D">
        <w:t>the importer logs potential errors or warnings that occurred during the import process</w:t>
      </w:r>
      <w:r w:rsidR="0000203B">
        <w:t xml:space="preserve"> </w:t>
      </w:r>
      <w:r w:rsidR="0000203B" w:rsidRPr="0075707D">
        <w:t xml:space="preserve">into </w:t>
      </w:r>
      <w:r w:rsidR="00C56F7E">
        <w:t xml:space="preserve">a designated table of </w:t>
      </w:r>
      <w:r w:rsidR="004E0DF2">
        <w:t>the</w:t>
      </w:r>
      <w:r w:rsidR="0000203B" w:rsidRPr="0075707D">
        <w:t xml:space="preserve"> </w:t>
      </w:r>
      <w:r w:rsidR="00C56F7E">
        <w:t xml:space="preserve">target </w:t>
      </w:r>
      <w:r w:rsidR="0000203B" w:rsidRPr="0075707D">
        <w:t>database</w:t>
      </w:r>
      <w:r w:rsidR="00472291" w:rsidRPr="0075707D">
        <w:t xml:space="preserve">. After a successful import of </w:t>
      </w:r>
      <w:r>
        <w:t xml:space="preserve">an import </w:t>
      </w:r>
      <w:r w:rsidR="00472291" w:rsidRPr="0075707D">
        <w:t xml:space="preserve">file, </w:t>
      </w:r>
      <w:r w:rsidR="00965FEB">
        <w:t>this</w:t>
      </w:r>
      <w:r w:rsidR="00472291" w:rsidRPr="0075707D">
        <w:t xml:space="preserve"> success is also logged, storing the filename and the file modification timestamp of the respective file. When repeatedly running the importer with the same ICs on the same data source folders the import</w:t>
      </w:r>
      <w:r w:rsidR="0000203B">
        <w:t>er can be configured to use th</w:t>
      </w:r>
      <w:r w:rsidR="00472291" w:rsidRPr="0075707D">
        <w:t xml:space="preserve">e </w:t>
      </w:r>
      <w:r w:rsidR="0000203B">
        <w:t xml:space="preserve">database </w:t>
      </w:r>
      <w:r w:rsidR="00472291" w:rsidRPr="0075707D">
        <w:t xml:space="preserve">logs </w:t>
      </w:r>
      <w:r w:rsidR="00E76881">
        <w:t xml:space="preserve">to </w:t>
      </w:r>
      <w:r w:rsidR="00472291" w:rsidRPr="0075707D">
        <w:t xml:space="preserve">prevent unnecessary processing of already processed files. </w:t>
      </w:r>
      <w:r>
        <w:t xml:space="preserve">Using </w:t>
      </w:r>
      <w:r w:rsidR="00472291" w:rsidRPr="0075707D">
        <w:t xml:space="preserve">this mode, the </w:t>
      </w:r>
      <w:r w:rsidR="00E76881">
        <w:t xml:space="preserve">import </w:t>
      </w:r>
      <w:r w:rsidR="00472291" w:rsidRPr="0075707D">
        <w:t xml:space="preserve">folders can be </w:t>
      </w:r>
      <w:r>
        <w:t>re</w:t>
      </w:r>
      <w:r w:rsidR="00421748">
        <w:t>-</w:t>
      </w:r>
      <w:r w:rsidR="00472291" w:rsidRPr="0075707D">
        <w:t xml:space="preserve">used for iterative (e.g. daily) export of data deltas without the need </w:t>
      </w:r>
      <w:r>
        <w:t xml:space="preserve">for </w:t>
      </w:r>
      <w:r w:rsidR="00472291" w:rsidRPr="0075707D">
        <w:t>cleaning those folders before every update cycle.</w:t>
      </w:r>
    </w:p>
    <w:p w:rsidR="00472291" w:rsidRPr="0075707D" w:rsidRDefault="00722254" w:rsidP="00A928D6">
      <w:pPr>
        <w:pStyle w:val="berschrift1"/>
        <w:numPr>
          <w:ilvl w:val="0"/>
          <w:numId w:val="12"/>
        </w:numPr>
        <w:spacing w:before="0"/>
        <w:rPr>
          <w:rFonts w:cs="Times New Roman"/>
          <w:lang w:val="de-DE"/>
        </w:rPr>
      </w:pPr>
      <w:r>
        <w:rPr>
          <w:rFonts w:cs="Times New Roman"/>
          <w:lang w:val="de-DE"/>
        </w:rPr>
        <w:t>Implementation</w:t>
      </w:r>
    </w:p>
    <w:p w:rsidR="00965FEB" w:rsidRDefault="00472291" w:rsidP="001C3EF0">
      <w:pPr>
        <w:ind w:firstLine="0"/>
      </w:pPr>
      <w:r>
        <w:t xml:space="preserve">The presented customizable importer is currently deployed and in use in </w:t>
      </w:r>
      <w:r w:rsidR="008874AF">
        <w:t xml:space="preserve">the </w:t>
      </w:r>
      <w:r w:rsidR="00421748">
        <w:t>CDW</w:t>
      </w:r>
      <w:r>
        <w:t xml:space="preserve"> projects at the university </w:t>
      </w:r>
      <w:r w:rsidR="00E76881">
        <w:t xml:space="preserve">hospitals of </w:t>
      </w:r>
      <w:r>
        <w:t>Würzburg</w:t>
      </w:r>
      <w:r w:rsidR="007115AA">
        <w:t xml:space="preserve"> and</w:t>
      </w:r>
      <w:r w:rsidR="00E76881">
        <w:t xml:space="preserve"> Ulm</w:t>
      </w:r>
      <w:r>
        <w:t>.</w:t>
      </w:r>
      <w:r w:rsidR="00421748">
        <w:t xml:space="preserve"> </w:t>
      </w:r>
      <w:r w:rsidR="00E76881">
        <w:t xml:space="preserve">Within </w:t>
      </w:r>
      <w:r>
        <w:t xml:space="preserve">the </w:t>
      </w:r>
      <w:r w:rsidR="002945F9">
        <w:t xml:space="preserve">CDW </w:t>
      </w:r>
      <w:r>
        <w:t xml:space="preserve">project Würzburg the majority of data domains that are loaded into the </w:t>
      </w:r>
      <w:r w:rsidR="002945F9">
        <w:t>C</w:t>
      </w:r>
      <w:r>
        <w:t>DW are processed u</w:t>
      </w:r>
      <w:r w:rsidRPr="00272F0D">
        <w:t>sing the presented customizable importer</w:t>
      </w:r>
      <w:r>
        <w:t xml:space="preserve">. The domains processed by the importer at the current stage of the project are (grouped by data format) </w:t>
      </w:r>
      <w:r w:rsidRPr="004509D7">
        <w:rPr>
          <w:b/>
        </w:rPr>
        <w:t>CSV</w:t>
      </w:r>
      <w:r>
        <w:t>: laboratory reports, diagnoses</w:t>
      </w:r>
      <w:r w:rsidR="007115AA">
        <w:t xml:space="preserve"> (ICD10)</w:t>
      </w:r>
      <w:r>
        <w:t>, disease-related groups (DRG), procedures</w:t>
      </w:r>
      <w:r w:rsidR="007115AA">
        <w:t xml:space="preserve"> (OPS)</w:t>
      </w:r>
      <w:r>
        <w:t>, age, sex, admission and discharge time</w:t>
      </w:r>
      <w:r w:rsidR="00421748">
        <w:t xml:space="preserve"> </w:t>
      </w:r>
      <w:r>
        <w:t xml:space="preserve">stamp, hospital ward; </w:t>
      </w:r>
      <w:r w:rsidRPr="004509D7">
        <w:rPr>
          <w:b/>
        </w:rPr>
        <w:t>XML</w:t>
      </w:r>
      <w:r>
        <w:t xml:space="preserve">: echocardiography reports, sonography reports, anamnesis and physical examination reports, electrocardiogram reports, coronary angiography reports, X-ray reports; </w:t>
      </w:r>
      <w:r w:rsidRPr="004509D7">
        <w:rPr>
          <w:b/>
        </w:rPr>
        <w:t>Plain text</w:t>
      </w:r>
      <w:r>
        <w:t>: discharge letters.</w:t>
      </w:r>
    </w:p>
    <w:p w:rsidR="00A04478" w:rsidRDefault="00A04478" w:rsidP="001C3EF0">
      <w:pPr>
        <w:ind w:firstLine="0"/>
      </w:pPr>
      <w:r>
        <w:t xml:space="preserve">A </w:t>
      </w:r>
      <w:r w:rsidR="008874AF">
        <w:t xml:space="preserve">small </w:t>
      </w:r>
      <w:r>
        <w:t xml:space="preserve">fraction of the data domains </w:t>
      </w:r>
      <w:r w:rsidR="00472291">
        <w:t xml:space="preserve">(e.g. medication) </w:t>
      </w:r>
      <w:r>
        <w:t xml:space="preserve">still </w:t>
      </w:r>
      <w:r w:rsidR="00472291">
        <w:t>require additional transformations</w:t>
      </w:r>
      <w:r w:rsidR="004509D7">
        <w:t>,</w:t>
      </w:r>
      <w:r>
        <w:t xml:space="preserve"> </w:t>
      </w:r>
      <w:r w:rsidR="004509D7">
        <w:t>therefore</w:t>
      </w:r>
      <w:r>
        <w:t xml:space="preserve"> the</w:t>
      </w:r>
      <w:r w:rsidR="004509D7">
        <w:t>ir</w:t>
      </w:r>
      <w:r>
        <w:t xml:space="preserve"> import </w:t>
      </w:r>
      <w:r w:rsidR="004509D7">
        <w:t xml:space="preserve">is performed by </w:t>
      </w:r>
      <w:r>
        <w:t>Java program</w:t>
      </w:r>
      <w:r w:rsidR="004509D7">
        <w:t>s</w:t>
      </w:r>
      <w:r w:rsidR="008874AF">
        <w:t>,</w:t>
      </w:r>
      <w:r>
        <w:t xml:space="preserve"> </w:t>
      </w:r>
      <w:r w:rsidR="004509D7">
        <w:t xml:space="preserve">which are individually created for </w:t>
      </w:r>
      <w:r w:rsidR="004E0DF2">
        <w:t>those</w:t>
      </w:r>
      <w:r w:rsidR="004509D7">
        <w:t xml:space="preserve"> data domain</w:t>
      </w:r>
      <w:r w:rsidR="00472291">
        <w:t xml:space="preserve">. </w:t>
      </w:r>
    </w:p>
    <w:p w:rsidR="00A928D6" w:rsidRDefault="00A928D6" w:rsidP="00A928D6">
      <w:pPr>
        <w:spacing w:after="240"/>
        <w:ind w:firstLine="0"/>
      </w:pPr>
      <w:r>
        <w:t xml:space="preserve">At the CDW project in Ulm, which is currently still in the prototype phase, the importer processes the domains: </w:t>
      </w:r>
      <w:r w:rsidRPr="00A928D6">
        <w:rPr>
          <w:b/>
        </w:rPr>
        <w:t>CSV</w:t>
      </w:r>
      <w:r>
        <w:t xml:space="preserve">: diagnoses, laboratory reports, age, sex, admission and discharge time; </w:t>
      </w:r>
      <w:r w:rsidRPr="00A928D6">
        <w:rPr>
          <w:b/>
        </w:rPr>
        <w:t>Plain text</w:t>
      </w:r>
      <w:r>
        <w:t>: discharge letters.</w:t>
      </w:r>
    </w:p>
    <w:p w:rsidR="00472291" w:rsidRDefault="00722254" w:rsidP="00A928D6">
      <w:pPr>
        <w:pStyle w:val="berschrift1"/>
        <w:numPr>
          <w:ilvl w:val="0"/>
          <w:numId w:val="12"/>
        </w:numPr>
        <w:spacing w:before="0"/>
        <w:rPr>
          <w:rFonts w:cs="Times New Roman"/>
        </w:rPr>
      </w:pPr>
      <w:r>
        <w:rPr>
          <w:rFonts w:cs="Times New Roman"/>
        </w:rPr>
        <w:t>Lessons learned</w:t>
      </w:r>
    </w:p>
    <w:p w:rsidR="004509D7" w:rsidRDefault="004509D7" w:rsidP="001C3EF0">
      <w:pPr>
        <w:ind w:firstLine="0"/>
      </w:pPr>
      <w:r>
        <w:t xml:space="preserve">The use of the customizable importer </w:t>
      </w:r>
      <w:r w:rsidR="00191723">
        <w:t xml:space="preserve">improved the </w:t>
      </w:r>
      <w:r w:rsidR="00C54018">
        <w:t>rollout</w:t>
      </w:r>
      <w:r w:rsidR="00191723">
        <w:t xml:space="preserve"> speed </w:t>
      </w:r>
      <w:r w:rsidR="001276A5">
        <w:t xml:space="preserve">at the Würzburg CDW project </w:t>
      </w:r>
      <w:r w:rsidR="00191723">
        <w:t xml:space="preserve">for the integration of new domains into the CDW, especially for the XML data domains. </w:t>
      </w:r>
      <w:r>
        <w:t xml:space="preserve">The XML data domains </w:t>
      </w:r>
      <w:r w:rsidR="00C54018">
        <w:t xml:space="preserve">originate from </w:t>
      </w:r>
      <w:r w:rsidR="00BC472C">
        <w:t>so-</w:t>
      </w:r>
      <w:r>
        <w:t xml:space="preserve">called </w:t>
      </w:r>
      <w:r w:rsidRPr="0075707D">
        <w:t>Parametrized Medical Documents (PMD)</w:t>
      </w:r>
      <w:r>
        <w:t>,</w:t>
      </w:r>
      <w:r w:rsidRPr="0075707D">
        <w:t xml:space="preserve"> </w:t>
      </w:r>
      <w:r>
        <w:t xml:space="preserve">which </w:t>
      </w:r>
      <w:r w:rsidRPr="0075707D">
        <w:t>are exported from the local SAP system</w:t>
      </w:r>
      <w:r>
        <w:t xml:space="preserve"> in a generic XML format</w:t>
      </w:r>
      <w:r w:rsidRPr="0075707D">
        <w:t xml:space="preserve">. PMDs are hierarchical structured documents comparable to CDAs </w:t>
      </w:r>
      <w:r w:rsidR="00E76881">
        <w:t xml:space="preserve">(Clinical Document Architecture) </w:t>
      </w:r>
      <w:r w:rsidRPr="0075707D">
        <w:t>[</w:t>
      </w:r>
      <w:r w:rsidR="00F80322">
        <w:t>6</w:t>
      </w:r>
      <w:r w:rsidRPr="0075707D">
        <w:t>].</w:t>
      </w:r>
      <w:r>
        <w:t xml:space="preserve"> </w:t>
      </w:r>
      <w:r w:rsidR="00191723">
        <w:t xml:space="preserve">At the university </w:t>
      </w:r>
      <w:r w:rsidR="00E76881">
        <w:t xml:space="preserve">hospital of </w:t>
      </w:r>
      <w:r w:rsidR="00C54018">
        <w:t>Würzburg,</w:t>
      </w:r>
      <w:r w:rsidR="00191723">
        <w:t xml:space="preserve"> there exist hundreds of PMD domains [</w:t>
      </w:r>
      <w:r w:rsidR="00F80322">
        <w:t>7</w:t>
      </w:r>
      <w:r w:rsidR="00191723">
        <w:t xml:space="preserve">], which represent a big fraction of the total data stock in the local hospital information system. The import process for those domains can now be configured </w:t>
      </w:r>
      <w:r w:rsidR="001276A5">
        <w:t>via ICs instead of having to write Java code</w:t>
      </w:r>
      <w:r w:rsidR="00191723">
        <w:t>.</w:t>
      </w:r>
      <w:r w:rsidR="005E6F16">
        <w:t xml:space="preserve"> Although in both CDW projects where the importer is used (Würzburg, Ulm) the technicians configuring the ICs are also programmers, the configuration of ICs is preferred to writing Java code. The training period for new workers in the ETL process becomes shorter because no programming IDEs have to be installed and configured and no code framework has to be learned. As part of the future development, the importer could be equipped with a user interface and an IC generation wizard like it is the case in IDRT [4] or in the CSV import wizard of Microsoft Excel.</w:t>
      </w:r>
    </w:p>
    <w:p w:rsidR="00B743BD" w:rsidRDefault="00BF4CA4" w:rsidP="001C3EF0">
      <w:pPr>
        <w:ind w:firstLine="0"/>
      </w:pPr>
      <w:r>
        <w:t>By u</w:t>
      </w:r>
      <w:r w:rsidR="00B743BD">
        <w:t xml:space="preserve">sing the customizable importer and its import configurations the import process is logically separated from processes </w:t>
      </w:r>
      <w:r>
        <w:t>belong</w:t>
      </w:r>
      <w:r w:rsidR="00E76881">
        <w:t>ing</w:t>
      </w:r>
      <w:r w:rsidR="00B743BD">
        <w:t xml:space="preserve"> </w:t>
      </w:r>
      <w:r>
        <w:t xml:space="preserve">to </w:t>
      </w:r>
      <w:r w:rsidR="00B743BD">
        <w:t>a</w:t>
      </w:r>
      <w:r w:rsidR="00C54018">
        <w:t>nother</w:t>
      </w:r>
      <w:r w:rsidR="00B743BD">
        <w:t xml:space="preserve"> technological l</w:t>
      </w:r>
      <w:r w:rsidR="00C54018">
        <w:t>evel</w:t>
      </w:r>
      <w:r w:rsidR="00B743BD">
        <w:t xml:space="preserve"> </w:t>
      </w:r>
      <w:r w:rsidR="00E76881">
        <w:t>(</w:t>
      </w:r>
      <w:r w:rsidR="00B743BD">
        <w:t>e.g. dat</w:t>
      </w:r>
      <w:r w:rsidR="00965FEB">
        <w:t>abase transactions, file access, program</w:t>
      </w:r>
      <w:r w:rsidR="00B743BD">
        <w:t xml:space="preserve"> logic, etc.</w:t>
      </w:r>
      <w:r w:rsidR="00E76881">
        <w:t>).</w:t>
      </w:r>
      <w:r w:rsidR="00B743BD">
        <w:t xml:space="preserve"> This separation improves the </w:t>
      </w:r>
      <w:proofErr w:type="spellStart"/>
      <w:r w:rsidR="00B743BD">
        <w:t>documentability</w:t>
      </w:r>
      <w:proofErr w:type="spellEnd"/>
      <w:r w:rsidR="00B743BD">
        <w:t xml:space="preserve"> of the loading part of the ETL process.</w:t>
      </w:r>
      <w:r w:rsidR="00EC5576">
        <w:t xml:space="preserve"> Other people in the CDW </w:t>
      </w:r>
      <w:r w:rsidR="00EC5576">
        <w:lastRenderedPageBreak/>
        <w:t xml:space="preserve">project, e.g. </w:t>
      </w:r>
      <w:r w:rsidR="0051059A">
        <w:t xml:space="preserve">working on </w:t>
      </w:r>
      <w:r w:rsidR="00EC5576">
        <w:t>quality ass</w:t>
      </w:r>
      <w:r w:rsidR="0051059A">
        <w:t xml:space="preserve">urance, </w:t>
      </w:r>
      <w:r w:rsidR="00EC5576">
        <w:t xml:space="preserve">can </w:t>
      </w:r>
      <w:r w:rsidR="0051059A">
        <w:t>more easily</w:t>
      </w:r>
      <w:r w:rsidR="00EC5576">
        <w:t xml:space="preserve"> review the import process because all import logic is concentra</w:t>
      </w:r>
      <w:r w:rsidR="0051059A">
        <w:t xml:space="preserve">ted in </w:t>
      </w:r>
      <w:r w:rsidR="001276A5">
        <w:t xml:space="preserve">the single </w:t>
      </w:r>
      <w:r w:rsidR="0051059A">
        <w:t>folder with IC-files.</w:t>
      </w:r>
    </w:p>
    <w:p w:rsidR="00EC5576" w:rsidRDefault="00C54018" w:rsidP="00EC5576">
      <w:pPr>
        <w:ind w:firstLine="0"/>
      </w:pPr>
      <w:r>
        <w:t>T</w:t>
      </w:r>
      <w:r w:rsidR="00B743BD">
        <w:t xml:space="preserve">he presented importer serves solely for the loading of data and not for any transformations of processed data. </w:t>
      </w:r>
      <w:r w:rsidR="002F5D88">
        <w:t xml:space="preserve">For </w:t>
      </w:r>
      <w:r w:rsidR="00B743BD">
        <w:t>transformations</w:t>
      </w:r>
      <w:r w:rsidR="00D42F02">
        <w:t>,</w:t>
      </w:r>
      <w:r w:rsidR="002F5D88">
        <w:t xml:space="preserve"> an additional ETL software has to be used. </w:t>
      </w:r>
      <w:r w:rsidR="00BF4CA4">
        <w:t xml:space="preserve">In </w:t>
      </w:r>
      <w:r w:rsidR="002F5D88">
        <w:t xml:space="preserve">the CDW project at the university </w:t>
      </w:r>
      <w:r w:rsidR="00E76881">
        <w:t xml:space="preserve">hospital of </w:t>
      </w:r>
      <w:r w:rsidR="002F5D88">
        <w:t>Würzburg the importer is included in a</w:t>
      </w:r>
      <w:r w:rsidR="00E92F6E">
        <w:t>n additional</w:t>
      </w:r>
      <w:r w:rsidR="002F5D88">
        <w:t xml:space="preserve"> Java program that controls the ETL process</w:t>
      </w:r>
      <w:r>
        <w:t xml:space="preserve"> [1]</w:t>
      </w:r>
      <w:r w:rsidR="002F5D88">
        <w:t xml:space="preserve">. As the customizable importer only needs </w:t>
      </w:r>
      <w:r w:rsidR="00D42F02">
        <w:t>text file</w:t>
      </w:r>
      <w:r w:rsidR="002F5D88">
        <w:t xml:space="preserve"> configurations</w:t>
      </w:r>
      <w:r w:rsidR="00BC472C">
        <w:t>,</w:t>
      </w:r>
      <w:r w:rsidR="002F5D88">
        <w:t xml:space="preserve"> an integration in </w:t>
      </w:r>
      <w:r w:rsidR="00D42F02">
        <w:t>an</w:t>
      </w:r>
      <w:r w:rsidR="00BC472C">
        <w:t xml:space="preserve">other </w:t>
      </w:r>
      <w:r w:rsidR="002F5D88">
        <w:t>ETL environment should be easy to accomplish.</w:t>
      </w:r>
    </w:p>
    <w:p w:rsidR="00381F8D" w:rsidRDefault="00381F8D" w:rsidP="00381F8D">
      <w:pPr>
        <w:spacing w:after="240"/>
        <w:ind w:firstLine="0"/>
      </w:pPr>
      <w:r>
        <w:t xml:space="preserve">The abstraction from the concrete target CDW keeps the importer independent from the CDW system used. When choosing to exchange the underlying software (e.g. switching from I2B2 to PaDaWaN or vice versa) the existing ICs can be re-used without any further adjustments. Other CDW systems could be added to the framework by creating an appropriate adapter implementation for the abstract model (assuming the data model matches the abstract model depicted above). </w:t>
      </w:r>
      <w:r w:rsidR="00033B3F">
        <w:t xml:space="preserve">Due to the similar EAV models of PaDaWaN and I2B2 the unification under the same interface did not pose major problems. </w:t>
      </w:r>
      <w:r w:rsidR="001C6B4C">
        <w:t>Other possible CDW d</w:t>
      </w:r>
      <w:r w:rsidR="00033B3F">
        <w:t>ata models like FHIR Q</w:t>
      </w:r>
      <w:r w:rsidR="00325CBA">
        <w:t>I-Core</w:t>
      </w:r>
      <w:r w:rsidR="001C6B4C">
        <w:rPr>
          <w:rStyle w:val="Funotenzeichen"/>
        </w:rPr>
        <w:footnoteReference w:id="3"/>
      </w:r>
      <w:r w:rsidR="00325CBA">
        <w:t xml:space="preserve">, OMOP </w:t>
      </w:r>
      <w:r w:rsidR="001C6B4C">
        <w:t>CMD</w:t>
      </w:r>
      <w:r w:rsidR="001C6B4C">
        <w:rPr>
          <w:rStyle w:val="Funotenzeichen"/>
        </w:rPr>
        <w:footnoteReference w:id="4"/>
      </w:r>
      <w:r w:rsidR="00325CBA">
        <w:t xml:space="preserve"> or </w:t>
      </w:r>
      <w:proofErr w:type="spellStart"/>
      <w:r w:rsidR="00325CBA">
        <w:t>PCORnet</w:t>
      </w:r>
      <w:proofErr w:type="spellEnd"/>
      <w:r w:rsidR="00325CBA">
        <w:t xml:space="preserve"> </w:t>
      </w:r>
      <w:r w:rsidR="001C6B4C">
        <w:t>CDM</w:t>
      </w:r>
      <w:r w:rsidR="001C6B4C">
        <w:rPr>
          <w:rStyle w:val="Funotenzeichen"/>
        </w:rPr>
        <w:footnoteReference w:id="5"/>
      </w:r>
      <w:r w:rsidR="00325CBA">
        <w:t xml:space="preserve"> are more complex and would need a more sophisticated abstract model before a unification under a common interface could be achieved.</w:t>
      </w:r>
    </w:p>
    <w:p w:rsidR="00472291" w:rsidRDefault="00472291" w:rsidP="00A928D6">
      <w:pPr>
        <w:pStyle w:val="berschrift1"/>
        <w:numPr>
          <w:ilvl w:val="0"/>
          <w:numId w:val="12"/>
        </w:numPr>
        <w:spacing w:before="0"/>
        <w:rPr>
          <w:rFonts w:cs="Times New Roman"/>
        </w:rPr>
      </w:pPr>
      <w:r w:rsidRPr="0075707D">
        <w:rPr>
          <w:rFonts w:cs="Times New Roman"/>
        </w:rPr>
        <w:t>Conclusion</w:t>
      </w:r>
    </w:p>
    <w:p w:rsidR="00472291" w:rsidRPr="00272F0D" w:rsidRDefault="00472291" w:rsidP="00A928D6">
      <w:pPr>
        <w:spacing w:after="240"/>
        <w:ind w:firstLine="0"/>
      </w:pPr>
      <w:r>
        <w:t>A customizable importer for the two DW systems PaDaWaN and I2B2 was presented which is able to import data in the most common data formats (plain text, CSV and XML). In order to run the importer only needs a configuration file with the credentials of the target DW system and a list of XML import configurations, thus making the importer easy to integrate into ETL workflows.</w:t>
      </w:r>
    </w:p>
    <w:p w:rsidR="00472291" w:rsidRPr="0075707D" w:rsidRDefault="00472291" w:rsidP="00A928D6">
      <w:pPr>
        <w:pStyle w:val="berschrift1"/>
        <w:numPr>
          <w:ilvl w:val="0"/>
          <w:numId w:val="12"/>
        </w:numPr>
        <w:spacing w:before="0"/>
        <w:rPr>
          <w:rFonts w:cs="Times New Roman"/>
        </w:rPr>
      </w:pPr>
      <w:r w:rsidRPr="0075707D">
        <w:rPr>
          <w:rFonts w:cs="Times New Roman"/>
        </w:rPr>
        <w:t>Conflict of Interest</w:t>
      </w:r>
    </w:p>
    <w:p w:rsidR="00472291" w:rsidRPr="0075707D" w:rsidRDefault="00472291" w:rsidP="00A928D6">
      <w:pPr>
        <w:pStyle w:val="NoindentNormal"/>
        <w:spacing w:after="240"/>
      </w:pPr>
      <w:r w:rsidRPr="0075707D">
        <w:t>No conflicts of Interest</w:t>
      </w:r>
    </w:p>
    <w:p w:rsidR="00472291" w:rsidRPr="0075707D" w:rsidRDefault="00472291" w:rsidP="00A928D6">
      <w:pPr>
        <w:pStyle w:val="HeadingUnn1"/>
        <w:spacing w:before="0"/>
        <w:rPr>
          <w:rFonts w:cs="Times New Roman"/>
        </w:rPr>
      </w:pPr>
      <w:r w:rsidRPr="0075707D">
        <w:rPr>
          <w:rFonts w:cs="Times New Roman"/>
        </w:rPr>
        <w:t>References</w:t>
      </w:r>
    </w:p>
    <w:p w:rsidR="00472291" w:rsidRPr="0075707D" w:rsidRDefault="00145935" w:rsidP="00472291">
      <w:pPr>
        <w:pStyle w:val="References"/>
        <w:numPr>
          <w:ilvl w:val="0"/>
          <w:numId w:val="13"/>
        </w:numPr>
        <w:rPr>
          <w:snapToGrid w:val="0"/>
        </w:rPr>
      </w:pPr>
      <w:r w:rsidRPr="00145935">
        <w:rPr>
          <w:snapToGrid w:val="0"/>
        </w:rPr>
        <w:t>G. Fette</w:t>
      </w:r>
      <w:r w:rsidR="00C54018" w:rsidRPr="00145935">
        <w:rPr>
          <w:snapToGrid w:val="0"/>
        </w:rPr>
        <w:t xml:space="preserve">, </w:t>
      </w:r>
      <w:r w:rsidRPr="00145935">
        <w:rPr>
          <w:snapToGrid w:val="0"/>
        </w:rPr>
        <w:t xml:space="preserve">M. </w:t>
      </w:r>
      <w:proofErr w:type="spellStart"/>
      <w:r w:rsidRPr="00145935">
        <w:rPr>
          <w:snapToGrid w:val="0"/>
        </w:rPr>
        <w:t>Ertl</w:t>
      </w:r>
      <w:proofErr w:type="spellEnd"/>
      <w:r w:rsidR="00C54018" w:rsidRPr="00145935">
        <w:rPr>
          <w:snapToGrid w:val="0"/>
        </w:rPr>
        <w:t xml:space="preserve">, </w:t>
      </w:r>
      <w:proofErr w:type="gramStart"/>
      <w:r w:rsidRPr="00145935">
        <w:rPr>
          <w:snapToGrid w:val="0"/>
        </w:rPr>
        <w:t>G</w:t>
      </w:r>
      <w:proofErr w:type="gramEnd"/>
      <w:r w:rsidRPr="00145935">
        <w:rPr>
          <w:snapToGrid w:val="0"/>
        </w:rPr>
        <w:t>. Dietrich</w:t>
      </w:r>
      <w:r w:rsidR="00C54018" w:rsidRPr="00145935">
        <w:rPr>
          <w:snapToGrid w:val="0"/>
        </w:rPr>
        <w:t>, et al.</w:t>
      </w:r>
      <w:r>
        <w:rPr>
          <w:snapToGrid w:val="0"/>
        </w:rPr>
        <w:t>,</w:t>
      </w:r>
      <w:r w:rsidR="00C54018" w:rsidRPr="00145935">
        <w:rPr>
          <w:snapToGrid w:val="0"/>
        </w:rPr>
        <w:t xml:space="preserve"> </w:t>
      </w:r>
      <w:r w:rsidR="00472291" w:rsidRPr="0075707D">
        <w:rPr>
          <w:snapToGrid w:val="0"/>
        </w:rPr>
        <w:t>An improved data workflow for a medical data warehouse</w:t>
      </w:r>
      <w:r>
        <w:rPr>
          <w:snapToGrid w:val="0"/>
        </w:rPr>
        <w:t>,</w:t>
      </w:r>
      <w:r w:rsidR="00472291" w:rsidRPr="0075707D">
        <w:rPr>
          <w:snapToGrid w:val="0"/>
        </w:rPr>
        <w:t xml:space="preserve"> </w:t>
      </w:r>
      <w:r w:rsidR="00472291" w:rsidRPr="00145935">
        <w:rPr>
          <w:i/>
          <w:snapToGrid w:val="0"/>
        </w:rPr>
        <w:t>European Journal of Epidemiology</w:t>
      </w:r>
      <w:r>
        <w:rPr>
          <w:i/>
          <w:snapToGrid w:val="0"/>
        </w:rPr>
        <w:t xml:space="preserve"> </w:t>
      </w:r>
      <w:r>
        <w:rPr>
          <w:b/>
          <w:snapToGrid w:val="0"/>
        </w:rPr>
        <w:t>32</w:t>
      </w:r>
      <w:r>
        <w:rPr>
          <w:snapToGrid w:val="0"/>
        </w:rPr>
        <w:t xml:space="preserve"> (2016),</w:t>
      </w:r>
      <w:r w:rsidR="00472291" w:rsidRPr="0075707D">
        <w:rPr>
          <w:snapToGrid w:val="0"/>
        </w:rPr>
        <w:t xml:space="preserve"> Health</w:t>
      </w:r>
      <w:r w:rsidR="00C54018">
        <w:rPr>
          <w:snapToGrid w:val="0"/>
        </w:rPr>
        <w:t>-</w:t>
      </w:r>
      <w:r w:rsidR="00472291" w:rsidRPr="0075707D">
        <w:rPr>
          <w:snapToGrid w:val="0"/>
        </w:rPr>
        <w:t>exploring complexity: an interdiscip</w:t>
      </w:r>
      <w:r>
        <w:rPr>
          <w:snapToGrid w:val="0"/>
        </w:rPr>
        <w:t xml:space="preserve">linary systems approach HEC2016, </w:t>
      </w:r>
      <w:r w:rsidR="00472291" w:rsidRPr="0075707D">
        <w:rPr>
          <w:snapToGrid w:val="0"/>
        </w:rPr>
        <w:t>54.</w:t>
      </w:r>
    </w:p>
    <w:p w:rsidR="00472291" w:rsidRPr="0075707D" w:rsidRDefault="00145935" w:rsidP="00472291">
      <w:pPr>
        <w:pStyle w:val="References"/>
        <w:numPr>
          <w:ilvl w:val="0"/>
          <w:numId w:val="13"/>
        </w:numPr>
        <w:rPr>
          <w:snapToGrid w:val="0"/>
        </w:rPr>
      </w:pPr>
      <w:r>
        <w:rPr>
          <w:snapToGrid w:val="0"/>
        </w:rPr>
        <w:t>S. Murphy</w:t>
      </w:r>
      <w:r w:rsidR="00472291" w:rsidRPr="0075707D">
        <w:rPr>
          <w:snapToGrid w:val="0"/>
        </w:rPr>
        <w:t xml:space="preserve">, </w:t>
      </w:r>
      <w:r>
        <w:rPr>
          <w:snapToGrid w:val="0"/>
        </w:rPr>
        <w:t>G. Weber</w:t>
      </w:r>
      <w:r w:rsidR="00472291" w:rsidRPr="0075707D">
        <w:rPr>
          <w:snapToGrid w:val="0"/>
        </w:rPr>
        <w:t xml:space="preserve">, </w:t>
      </w:r>
      <w:r>
        <w:rPr>
          <w:snapToGrid w:val="0"/>
        </w:rPr>
        <w:t xml:space="preserve">M. </w:t>
      </w:r>
      <w:proofErr w:type="spellStart"/>
      <w:r>
        <w:rPr>
          <w:snapToGrid w:val="0"/>
        </w:rPr>
        <w:t>Mendis</w:t>
      </w:r>
      <w:proofErr w:type="spellEnd"/>
      <w:r w:rsidR="00472291" w:rsidRPr="0075707D">
        <w:rPr>
          <w:snapToGrid w:val="0"/>
        </w:rPr>
        <w:t xml:space="preserve">, </w:t>
      </w:r>
      <w:r w:rsidR="00C54018" w:rsidRPr="00C54018">
        <w:rPr>
          <w:snapToGrid w:val="0"/>
        </w:rPr>
        <w:t>et al.</w:t>
      </w:r>
      <w:r>
        <w:rPr>
          <w:snapToGrid w:val="0"/>
        </w:rPr>
        <w:t>,</w:t>
      </w:r>
      <w:r w:rsidR="00472291" w:rsidRPr="0075707D">
        <w:rPr>
          <w:snapToGrid w:val="0"/>
        </w:rPr>
        <w:t xml:space="preserve"> Serving the Enterprise and beyond with Informatics for Integrating Biology and the Bedside (i2b2), </w:t>
      </w:r>
      <w:r w:rsidR="00472291" w:rsidRPr="00145935">
        <w:rPr>
          <w:i/>
          <w:snapToGrid w:val="0"/>
        </w:rPr>
        <w:t>J Am Med Inform Assoc</w:t>
      </w:r>
      <w:r w:rsidR="00472291" w:rsidRPr="0075707D">
        <w:rPr>
          <w:snapToGrid w:val="0"/>
        </w:rPr>
        <w:t xml:space="preserve">. </w:t>
      </w:r>
      <w:r>
        <w:rPr>
          <w:b/>
          <w:snapToGrid w:val="0"/>
        </w:rPr>
        <w:t>17</w:t>
      </w:r>
      <w:r w:rsidR="00F80322">
        <w:rPr>
          <w:b/>
          <w:snapToGrid w:val="0"/>
        </w:rPr>
        <w:t xml:space="preserve"> </w:t>
      </w:r>
      <w:r>
        <w:rPr>
          <w:b/>
          <w:snapToGrid w:val="0"/>
        </w:rPr>
        <w:t>(2)</w:t>
      </w:r>
      <w:r>
        <w:rPr>
          <w:snapToGrid w:val="0"/>
        </w:rPr>
        <w:t xml:space="preserve"> (</w:t>
      </w:r>
      <w:r w:rsidRPr="0075707D">
        <w:rPr>
          <w:snapToGrid w:val="0"/>
        </w:rPr>
        <w:t>2010</w:t>
      </w:r>
      <w:r>
        <w:rPr>
          <w:snapToGrid w:val="0"/>
        </w:rPr>
        <w:t xml:space="preserve">), </w:t>
      </w:r>
      <w:r w:rsidR="00472291" w:rsidRPr="0075707D">
        <w:rPr>
          <w:snapToGrid w:val="0"/>
        </w:rPr>
        <w:t>124-130.</w:t>
      </w:r>
    </w:p>
    <w:p w:rsidR="00472291" w:rsidRPr="0075707D" w:rsidRDefault="00145935" w:rsidP="00472291">
      <w:pPr>
        <w:pStyle w:val="References"/>
        <w:numPr>
          <w:ilvl w:val="0"/>
          <w:numId w:val="13"/>
        </w:numPr>
        <w:rPr>
          <w:snapToGrid w:val="0"/>
        </w:rPr>
      </w:pPr>
      <w:r>
        <w:rPr>
          <w:snapToGrid w:val="0"/>
        </w:rPr>
        <w:t xml:space="preserve">V. </w:t>
      </w:r>
      <w:proofErr w:type="spellStart"/>
      <w:r>
        <w:rPr>
          <w:snapToGrid w:val="0"/>
        </w:rPr>
        <w:t>Dinu</w:t>
      </w:r>
      <w:proofErr w:type="spellEnd"/>
      <w:r w:rsidR="00472291" w:rsidRPr="0075707D">
        <w:rPr>
          <w:snapToGrid w:val="0"/>
        </w:rPr>
        <w:t xml:space="preserve">, </w:t>
      </w:r>
      <w:r>
        <w:rPr>
          <w:snapToGrid w:val="0"/>
        </w:rPr>
        <w:t xml:space="preserve">P. </w:t>
      </w:r>
      <w:proofErr w:type="spellStart"/>
      <w:r>
        <w:rPr>
          <w:snapToGrid w:val="0"/>
        </w:rPr>
        <w:t>Nadkarni</w:t>
      </w:r>
      <w:proofErr w:type="spellEnd"/>
      <w:r>
        <w:rPr>
          <w:snapToGrid w:val="0"/>
        </w:rPr>
        <w:t>,</w:t>
      </w:r>
      <w:r w:rsidR="00472291" w:rsidRPr="0075707D">
        <w:rPr>
          <w:snapToGrid w:val="0"/>
        </w:rPr>
        <w:t xml:space="preserve"> Guidelines for the effective use of entity-attribute-value modeling for biomedical databases</w:t>
      </w:r>
      <w:r w:rsidR="00F80322">
        <w:rPr>
          <w:snapToGrid w:val="0"/>
        </w:rPr>
        <w:t>,</w:t>
      </w:r>
      <w:r w:rsidR="00472291" w:rsidRPr="0075707D">
        <w:rPr>
          <w:snapToGrid w:val="0"/>
        </w:rPr>
        <w:t xml:space="preserve"> </w:t>
      </w:r>
      <w:proofErr w:type="spellStart"/>
      <w:r w:rsidR="00472291" w:rsidRPr="00145935">
        <w:rPr>
          <w:i/>
          <w:snapToGrid w:val="0"/>
        </w:rPr>
        <w:t>Int</w:t>
      </w:r>
      <w:proofErr w:type="spellEnd"/>
      <w:r w:rsidR="00472291" w:rsidRPr="00145935">
        <w:rPr>
          <w:i/>
          <w:snapToGrid w:val="0"/>
        </w:rPr>
        <w:t xml:space="preserve"> J Med Inform</w:t>
      </w:r>
      <w:r w:rsidRPr="00145935">
        <w:rPr>
          <w:i/>
          <w:snapToGrid w:val="0"/>
        </w:rPr>
        <w:t>.</w:t>
      </w:r>
      <w:r>
        <w:rPr>
          <w:snapToGrid w:val="0"/>
        </w:rPr>
        <w:t xml:space="preserve"> </w:t>
      </w:r>
      <w:r w:rsidRPr="00145935">
        <w:rPr>
          <w:b/>
          <w:snapToGrid w:val="0"/>
        </w:rPr>
        <w:t>76</w:t>
      </w:r>
      <w:r w:rsidR="00F80322">
        <w:rPr>
          <w:b/>
          <w:snapToGrid w:val="0"/>
        </w:rPr>
        <w:t xml:space="preserve"> </w:t>
      </w:r>
      <w:r w:rsidRPr="00145935">
        <w:rPr>
          <w:b/>
          <w:snapToGrid w:val="0"/>
        </w:rPr>
        <w:t>(11-12)</w:t>
      </w:r>
      <w:r>
        <w:rPr>
          <w:snapToGrid w:val="0"/>
        </w:rPr>
        <w:t xml:space="preserve"> (</w:t>
      </w:r>
      <w:r w:rsidR="00472291" w:rsidRPr="0075707D">
        <w:rPr>
          <w:snapToGrid w:val="0"/>
        </w:rPr>
        <w:t>2007</w:t>
      </w:r>
      <w:r>
        <w:rPr>
          <w:snapToGrid w:val="0"/>
        </w:rPr>
        <w:t>),</w:t>
      </w:r>
      <w:r w:rsidRPr="0075707D">
        <w:rPr>
          <w:snapToGrid w:val="0"/>
        </w:rPr>
        <w:t xml:space="preserve"> </w:t>
      </w:r>
      <w:r w:rsidR="00472291" w:rsidRPr="0075707D">
        <w:rPr>
          <w:snapToGrid w:val="0"/>
        </w:rPr>
        <w:t>769-</w:t>
      </w:r>
      <w:r w:rsidR="006F1C3F">
        <w:rPr>
          <w:snapToGrid w:val="0"/>
        </w:rPr>
        <w:t>7</w:t>
      </w:r>
      <w:r w:rsidR="00472291" w:rsidRPr="0075707D">
        <w:rPr>
          <w:snapToGrid w:val="0"/>
        </w:rPr>
        <w:t>79.</w:t>
      </w:r>
    </w:p>
    <w:p w:rsidR="00472291" w:rsidRPr="0075707D" w:rsidRDefault="00145935" w:rsidP="00472291">
      <w:pPr>
        <w:pStyle w:val="References"/>
        <w:numPr>
          <w:ilvl w:val="0"/>
          <w:numId w:val="13"/>
        </w:numPr>
        <w:rPr>
          <w:snapToGrid w:val="0"/>
        </w:rPr>
      </w:pPr>
      <w:r w:rsidRPr="00145935">
        <w:rPr>
          <w:snapToGrid w:val="0"/>
        </w:rPr>
        <w:t>C. Bauer</w:t>
      </w:r>
      <w:r w:rsidR="00472291" w:rsidRPr="00145935">
        <w:rPr>
          <w:snapToGrid w:val="0"/>
        </w:rPr>
        <w:t xml:space="preserve">, </w:t>
      </w:r>
      <w:r w:rsidRPr="00145935">
        <w:rPr>
          <w:snapToGrid w:val="0"/>
        </w:rPr>
        <w:t>T. Ganslandt</w:t>
      </w:r>
      <w:r w:rsidR="00472291" w:rsidRPr="00145935">
        <w:rPr>
          <w:snapToGrid w:val="0"/>
        </w:rPr>
        <w:t xml:space="preserve">, </w:t>
      </w:r>
      <w:r w:rsidRPr="00145935">
        <w:rPr>
          <w:snapToGrid w:val="0"/>
        </w:rPr>
        <w:t>B. Baum</w:t>
      </w:r>
      <w:r w:rsidR="00632A35">
        <w:rPr>
          <w:snapToGrid w:val="0"/>
        </w:rPr>
        <w:t>,</w:t>
      </w:r>
      <w:r w:rsidR="00472291" w:rsidRPr="00145935">
        <w:rPr>
          <w:snapToGrid w:val="0"/>
        </w:rPr>
        <w:t xml:space="preserve"> </w:t>
      </w:r>
      <w:proofErr w:type="gramStart"/>
      <w:r w:rsidR="00472291" w:rsidRPr="00145935">
        <w:rPr>
          <w:snapToGrid w:val="0"/>
        </w:rPr>
        <w:t>et</w:t>
      </w:r>
      <w:proofErr w:type="gramEnd"/>
      <w:r w:rsidR="00472291" w:rsidRPr="00145935">
        <w:rPr>
          <w:snapToGrid w:val="0"/>
        </w:rPr>
        <w:t xml:space="preserve"> al.</w:t>
      </w:r>
      <w:r w:rsidRPr="00145935">
        <w:rPr>
          <w:snapToGrid w:val="0"/>
        </w:rPr>
        <w:t>,</w:t>
      </w:r>
      <w:r w:rsidR="00472291" w:rsidRPr="00145935">
        <w:rPr>
          <w:snapToGrid w:val="0"/>
        </w:rPr>
        <w:t xml:space="preserve"> </w:t>
      </w:r>
      <w:r w:rsidR="00472291" w:rsidRPr="0075707D">
        <w:rPr>
          <w:snapToGrid w:val="0"/>
        </w:rPr>
        <w:t>The Integrated Data Repository Toolkit (IDRT): accelerating translational research infrastructures</w:t>
      </w:r>
      <w:r w:rsidR="00F80322">
        <w:rPr>
          <w:snapToGrid w:val="0"/>
        </w:rPr>
        <w:t>,</w:t>
      </w:r>
      <w:r w:rsidR="00472291" w:rsidRPr="0075707D">
        <w:rPr>
          <w:snapToGrid w:val="0"/>
        </w:rPr>
        <w:t xml:space="preserve"> </w:t>
      </w:r>
      <w:r w:rsidR="00472291" w:rsidRPr="00145935">
        <w:rPr>
          <w:i/>
          <w:snapToGrid w:val="0"/>
        </w:rPr>
        <w:t>Journal of Clinical Bioinformatics</w:t>
      </w:r>
      <w:r w:rsidR="00472291" w:rsidRPr="0075707D">
        <w:rPr>
          <w:snapToGrid w:val="0"/>
        </w:rPr>
        <w:t xml:space="preserve">. </w:t>
      </w:r>
      <w:r w:rsidRPr="00145935">
        <w:rPr>
          <w:b/>
          <w:snapToGrid w:val="0"/>
        </w:rPr>
        <w:t>5</w:t>
      </w:r>
      <w:r w:rsidR="00F80322">
        <w:rPr>
          <w:b/>
          <w:snapToGrid w:val="0"/>
        </w:rPr>
        <w:t xml:space="preserve"> </w:t>
      </w:r>
      <w:r w:rsidRPr="00145935">
        <w:rPr>
          <w:b/>
          <w:snapToGrid w:val="0"/>
        </w:rPr>
        <w:t>(Suppl. 1)</w:t>
      </w:r>
      <w:r>
        <w:rPr>
          <w:snapToGrid w:val="0"/>
        </w:rPr>
        <w:t xml:space="preserve"> (</w:t>
      </w:r>
      <w:r w:rsidR="00472291" w:rsidRPr="0075707D">
        <w:rPr>
          <w:snapToGrid w:val="0"/>
        </w:rPr>
        <w:t>2015</w:t>
      </w:r>
      <w:r>
        <w:rPr>
          <w:snapToGrid w:val="0"/>
        </w:rPr>
        <w:t xml:space="preserve">), </w:t>
      </w:r>
      <w:r w:rsidR="00472291" w:rsidRPr="0075707D">
        <w:rPr>
          <w:snapToGrid w:val="0"/>
        </w:rPr>
        <w:t>S6.</w:t>
      </w:r>
    </w:p>
    <w:p w:rsidR="00F80322" w:rsidRPr="00F972A2" w:rsidRDefault="00F80322" w:rsidP="00F80322">
      <w:pPr>
        <w:pStyle w:val="References"/>
        <w:numPr>
          <w:ilvl w:val="0"/>
          <w:numId w:val="13"/>
        </w:numPr>
        <w:rPr>
          <w:snapToGrid w:val="0"/>
          <w:lang w:val="de-DE"/>
        </w:rPr>
      </w:pPr>
      <w:r w:rsidRPr="00F972A2">
        <w:rPr>
          <w:snapToGrid w:val="0"/>
          <w:lang w:val="de-DE"/>
        </w:rPr>
        <w:t xml:space="preserve">L. Liman, Vergleich und Integration der Data Warehouse Architekturen PaDaWaN und i2b2, </w:t>
      </w:r>
      <w:r w:rsidRPr="00F972A2">
        <w:rPr>
          <w:i/>
          <w:snapToGrid w:val="0"/>
          <w:lang w:val="de-DE"/>
        </w:rPr>
        <w:t xml:space="preserve">Master </w:t>
      </w:r>
      <w:proofErr w:type="spellStart"/>
      <w:r w:rsidRPr="00F972A2">
        <w:rPr>
          <w:i/>
          <w:snapToGrid w:val="0"/>
          <w:lang w:val="de-DE"/>
        </w:rPr>
        <w:t>thesis</w:t>
      </w:r>
      <w:proofErr w:type="spellEnd"/>
      <w:r w:rsidRPr="00F972A2">
        <w:rPr>
          <w:i/>
          <w:snapToGrid w:val="0"/>
          <w:lang w:val="de-DE"/>
        </w:rPr>
        <w:t xml:space="preserve"> (</w:t>
      </w:r>
      <w:proofErr w:type="spellStart"/>
      <w:r w:rsidRPr="00F972A2">
        <w:rPr>
          <w:i/>
          <w:snapToGrid w:val="0"/>
          <w:lang w:val="de-DE"/>
        </w:rPr>
        <w:t>german</w:t>
      </w:r>
      <w:proofErr w:type="spellEnd"/>
      <w:r w:rsidRPr="00F972A2">
        <w:rPr>
          <w:i/>
          <w:snapToGrid w:val="0"/>
          <w:lang w:val="de-DE"/>
        </w:rPr>
        <w:t>)</w:t>
      </w:r>
      <w:r w:rsidRPr="00F972A2">
        <w:rPr>
          <w:snapToGrid w:val="0"/>
          <w:lang w:val="de-DE"/>
        </w:rPr>
        <w:t xml:space="preserve"> (2017)</w:t>
      </w:r>
    </w:p>
    <w:p w:rsidR="00631672" w:rsidRPr="00F80322" w:rsidRDefault="00145935" w:rsidP="00472291">
      <w:pPr>
        <w:pStyle w:val="References"/>
        <w:numPr>
          <w:ilvl w:val="0"/>
          <w:numId w:val="13"/>
        </w:numPr>
        <w:rPr>
          <w:snapToGrid w:val="0"/>
        </w:rPr>
      </w:pPr>
      <w:r w:rsidRPr="00C56F7E">
        <w:rPr>
          <w:snapToGrid w:val="0"/>
        </w:rPr>
        <w:t>R. Dolin</w:t>
      </w:r>
      <w:r w:rsidR="00472291" w:rsidRPr="00C56F7E">
        <w:rPr>
          <w:snapToGrid w:val="0"/>
        </w:rPr>
        <w:t xml:space="preserve">, </w:t>
      </w:r>
      <w:r w:rsidRPr="00C56F7E">
        <w:rPr>
          <w:snapToGrid w:val="0"/>
        </w:rPr>
        <w:t xml:space="preserve">L. </w:t>
      </w:r>
      <w:proofErr w:type="spellStart"/>
      <w:r w:rsidRPr="00C56F7E">
        <w:rPr>
          <w:snapToGrid w:val="0"/>
        </w:rPr>
        <w:t>Alschuler</w:t>
      </w:r>
      <w:proofErr w:type="spellEnd"/>
      <w:r w:rsidR="00472291" w:rsidRPr="00C56F7E">
        <w:rPr>
          <w:snapToGrid w:val="0"/>
        </w:rPr>
        <w:t xml:space="preserve">, </w:t>
      </w:r>
      <w:r w:rsidRPr="00C56F7E">
        <w:rPr>
          <w:snapToGrid w:val="0"/>
        </w:rPr>
        <w:t>C. Beebe</w:t>
      </w:r>
      <w:r w:rsidR="00472291" w:rsidRPr="00C56F7E">
        <w:rPr>
          <w:snapToGrid w:val="0"/>
        </w:rPr>
        <w:t>, et al.</w:t>
      </w:r>
      <w:r w:rsidRPr="00C56F7E">
        <w:rPr>
          <w:snapToGrid w:val="0"/>
        </w:rPr>
        <w:t>,</w:t>
      </w:r>
      <w:r w:rsidR="00472291" w:rsidRPr="00C56F7E">
        <w:rPr>
          <w:snapToGrid w:val="0"/>
        </w:rPr>
        <w:t xml:space="preserve"> </w:t>
      </w:r>
      <w:proofErr w:type="gramStart"/>
      <w:r w:rsidR="00472291" w:rsidRPr="00C56F7E">
        <w:rPr>
          <w:snapToGrid w:val="0"/>
        </w:rPr>
        <w:t>The</w:t>
      </w:r>
      <w:proofErr w:type="gramEnd"/>
      <w:r w:rsidR="00472291" w:rsidRPr="00C56F7E">
        <w:rPr>
          <w:snapToGrid w:val="0"/>
        </w:rPr>
        <w:t xml:space="preserve"> HL7 Clinical Document Architecture</w:t>
      </w:r>
      <w:r w:rsidR="00F80322">
        <w:rPr>
          <w:snapToGrid w:val="0"/>
        </w:rPr>
        <w:t>,</w:t>
      </w:r>
      <w:r w:rsidR="00472291" w:rsidRPr="00C56F7E">
        <w:rPr>
          <w:snapToGrid w:val="0"/>
        </w:rPr>
        <w:t xml:space="preserve"> </w:t>
      </w:r>
      <w:r w:rsidRPr="00F80322">
        <w:rPr>
          <w:i/>
          <w:snapToGrid w:val="0"/>
        </w:rPr>
        <w:t>J Am Med Inform Assoc</w:t>
      </w:r>
      <w:r w:rsidR="00472291" w:rsidRPr="00F80322">
        <w:rPr>
          <w:snapToGrid w:val="0"/>
        </w:rPr>
        <w:t xml:space="preserve">. </w:t>
      </w:r>
      <w:r w:rsidRPr="00F80322">
        <w:rPr>
          <w:b/>
          <w:snapToGrid w:val="0"/>
        </w:rPr>
        <w:t>8</w:t>
      </w:r>
      <w:r w:rsidR="00F80322">
        <w:rPr>
          <w:b/>
          <w:snapToGrid w:val="0"/>
        </w:rPr>
        <w:t xml:space="preserve"> </w:t>
      </w:r>
      <w:r w:rsidRPr="00F80322">
        <w:rPr>
          <w:b/>
          <w:snapToGrid w:val="0"/>
        </w:rPr>
        <w:t>(6)</w:t>
      </w:r>
      <w:r w:rsidRPr="00F80322">
        <w:rPr>
          <w:snapToGrid w:val="0"/>
        </w:rPr>
        <w:t xml:space="preserve"> (</w:t>
      </w:r>
      <w:r w:rsidR="00472291" w:rsidRPr="00F80322">
        <w:rPr>
          <w:snapToGrid w:val="0"/>
        </w:rPr>
        <w:t>2001</w:t>
      </w:r>
      <w:r w:rsidRPr="00F80322">
        <w:rPr>
          <w:snapToGrid w:val="0"/>
        </w:rPr>
        <w:t xml:space="preserve">), </w:t>
      </w:r>
      <w:r w:rsidR="00632A35">
        <w:rPr>
          <w:snapToGrid w:val="0"/>
        </w:rPr>
        <w:t>552-</w:t>
      </w:r>
      <w:r w:rsidR="006F1C3F">
        <w:rPr>
          <w:snapToGrid w:val="0"/>
        </w:rPr>
        <w:t>5</w:t>
      </w:r>
      <w:r w:rsidR="00472291" w:rsidRPr="00F80322">
        <w:rPr>
          <w:snapToGrid w:val="0"/>
        </w:rPr>
        <w:t>69.</w:t>
      </w:r>
    </w:p>
    <w:p w:rsidR="00033B3F" w:rsidRPr="00E57ABF" w:rsidRDefault="00145935" w:rsidP="00E57ABF">
      <w:pPr>
        <w:pStyle w:val="References"/>
        <w:numPr>
          <w:ilvl w:val="0"/>
          <w:numId w:val="13"/>
        </w:numPr>
        <w:rPr>
          <w:snapToGrid w:val="0"/>
          <w:lang w:val="de-DE"/>
        </w:rPr>
      </w:pPr>
      <w:r>
        <w:rPr>
          <w:snapToGrid w:val="0"/>
          <w:lang w:val="de-DE"/>
        </w:rPr>
        <w:t xml:space="preserve">M. </w:t>
      </w:r>
      <w:r w:rsidR="00191723" w:rsidRPr="00145935">
        <w:rPr>
          <w:snapToGrid w:val="0"/>
          <w:lang w:val="de-DE"/>
        </w:rPr>
        <w:t>Ertl</w:t>
      </w:r>
      <w:r>
        <w:rPr>
          <w:snapToGrid w:val="0"/>
          <w:lang w:val="de-DE"/>
        </w:rPr>
        <w:t>,</w:t>
      </w:r>
      <w:r w:rsidR="00C54018" w:rsidRPr="00145935">
        <w:rPr>
          <w:snapToGrid w:val="0"/>
          <w:lang w:val="de-DE"/>
        </w:rPr>
        <w:t xml:space="preserve"> </w:t>
      </w:r>
      <w:r w:rsidR="00191723" w:rsidRPr="00191723">
        <w:rPr>
          <w:snapToGrid w:val="0"/>
          <w:lang w:val="de-DE"/>
        </w:rPr>
        <w:t>Erfassung von klinischen Untersuchungsdaten und Transfer in ein Data Warehouse</w:t>
      </w:r>
      <w:r w:rsidR="00F80322">
        <w:rPr>
          <w:snapToGrid w:val="0"/>
          <w:lang w:val="de-DE"/>
        </w:rPr>
        <w:t>,</w:t>
      </w:r>
      <w:r w:rsidR="00191723" w:rsidRPr="00191723">
        <w:rPr>
          <w:snapToGrid w:val="0"/>
          <w:lang w:val="de-DE"/>
        </w:rPr>
        <w:t xml:space="preserve"> </w:t>
      </w:r>
      <w:r>
        <w:rPr>
          <w:i/>
          <w:snapToGrid w:val="0"/>
          <w:lang w:val="de-DE"/>
        </w:rPr>
        <w:t>M</w:t>
      </w:r>
      <w:r w:rsidR="00191723" w:rsidRPr="00145935">
        <w:rPr>
          <w:i/>
          <w:snapToGrid w:val="0"/>
          <w:lang w:val="de-DE"/>
        </w:rPr>
        <w:t xml:space="preserve">aster </w:t>
      </w:r>
      <w:proofErr w:type="spellStart"/>
      <w:r w:rsidR="00191723" w:rsidRPr="00145935">
        <w:rPr>
          <w:i/>
          <w:snapToGrid w:val="0"/>
          <w:lang w:val="de-DE"/>
        </w:rPr>
        <w:t>thesis</w:t>
      </w:r>
      <w:proofErr w:type="spellEnd"/>
      <w:r w:rsidRPr="00145935">
        <w:rPr>
          <w:i/>
          <w:snapToGrid w:val="0"/>
          <w:lang w:val="de-DE"/>
        </w:rPr>
        <w:t xml:space="preserve"> (</w:t>
      </w:r>
      <w:proofErr w:type="spellStart"/>
      <w:r w:rsidRPr="00145935">
        <w:rPr>
          <w:i/>
          <w:snapToGrid w:val="0"/>
          <w:lang w:val="de-DE"/>
        </w:rPr>
        <w:t>german</w:t>
      </w:r>
      <w:proofErr w:type="spellEnd"/>
      <w:r w:rsidRPr="00145935">
        <w:rPr>
          <w:i/>
          <w:snapToGrid w:val="0"/>
          <w:lang w:val="de-DE"/>
        </w:rPr>
        <w:t>)</w:t>
      </w:r>
      <w:r w:rsidR="00191723" w:rsidRPr="00191723">
        <w:rPr>
          <w:snapToGrid w:val="0"/>
          <w:lang w:val="de-DE"/>
        </w:rPr>
        <w:t xml:space="preserve"> </w:t>
      </w:r>
      <w:r>
        <w:rPr>
          <w:snapToGrid w:val="0"/>
          <w:lang w:val="de-DE"/>
        </w:rPr>
        <w:t>(</w:t>
      </w:r>
      <w:r w:rsidR="00191723" w:rsidRPr="00191723">
        <w:rPr>
          <w:snapToGrid w:val="0"/>
          <w:lang w:val="de-DE"/>
        </w:rPr>
        <w:t>2011</w:t>
      </w:r>
      <w:r>
        <w:rPr>
          <w:snapToGrid w:val="0"/>
          <w:lang w:val="de-DE"/>
        </w:rPr>
        <w:t>)</w:t>
      </w:r>
      <w:r w:rsidR="00191723" w:rsidRPr="00191723">
        <w:rPr>
          <w:snapToGrid w:val="0"/>
          <w:lang w:val="de-DE"/>
        </w:rPr>
        <w:t>.</w:t>
      </w:r>
    </w:p>
    <w:sectPr w:rsidR="00033B3F" w:rsidRPr="00E57ABF">
      <w:pgSz w:w="11907" w:h="16840" w:code="9"/>
      <w:pgMar w:top="3119" w:right="2438" w:bottom="2381" w:left="243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878" w:rsidRDefault="009F3878">
      <w:r>
        <w:separator/>
      </w:r>
    </w:p>
  </w:endnote>
  <w:endnote w:type="continuationSeparator" w:id="0">
    <w:p w:rsidR="009F3878" w:rsidRDefault="009F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878" w:rsidRDefault="009F3878">
      <w:r>
        <w:separator/>
      </w:r>
    </w:p>
  </w:footnote>
  <w:footnote w:type="continuationSeparator" w:id="0">
    <w:p w:rsidR="009F3878" w:rsidRDefault="009F3878">
      <w:r>
        <w:continuationSeparator/>
      </w:r>
    </w:p>
  </w:footnote>
  <w:footnote w:id="1">
    <w:p w:rsidR="001E1FCF" w:rsidRPr="001E1FCF" w:rsidRDefault="001E1FCF">
      <w:pPr>
        <w:pStyle w:val="Funotentext"/>
        <w:rPr>
          <w:sz w:val="16"/>
          <w:szCs w:val="16"/>
        </w:rPr>
      </w:pPr>
      <w:r>
        <w:rPr>
          <w:rStyle w:val="Funotenzeichen"/>
        </w:rPr>
        <w:footnoteRef/>
      </w:r>
      <w:r>
        <w:t xml:space="preserve"> </w:t>
      </w:r>
      <w:r w:rsidRPr="00EF57C0">
        <w:rPr>
          <w:sz w:val="16"/>
          <w:szCs w:val="16"/>
        </w:rPr>
        <w:t>Corresponding author</w:t>
      </w:r>
      <w:r w:rsidR="00EF57C0">
        <w:rPr>
          <w:sz w:val="16"/>
          <w:szCs w:val="16"/>
        </w:rPr>
        <w:t>:</w:t>
      </w:r>
      <w:r w:rsidRPr="00EF57C0">
        <w:rPr>
          <w:sz w:val="16"/>
          <w:szCs w:val="16"/>
        </w:rPr>
        <w:t xml:space="preserve"> Georg Fette, University Hospital of Würzburg, </w:t>
      </w:r>
      <w:r w:rsidR="00EF57C0">
        <w:rPr>
          <w:sz w:val="16"/>
          <w:szCs w:val="16"/>
        </w:rPr>
        <w:t>DZHI</w:t>
      </w:r>
      <w:r w:rsidR="00EF57C0" w:rsidRPr="00EF57C0">
        <w:rPr>
          <w:sz w:val="16"/>
          <w:szCs w:val="16"/>
        </w:rPr>
        <w:t>, Am Schwarzenberg 15,</w:t>
      </w:r>
      <w:r w:rsidR="00EF57C0">
        <w:rPr>
          <w:sz w:val="16"/>
          <w:szCs w:val="16"/>
        </w:rPr>
        <w:t xml:space="preserve"> 97078 Würzburg, Germany;</w:t>
      </w:r>
      <w:r w:rsidR="00EF57C0" w:rsidRPr="00EF57C0">
        <w:rPr>
          <w:sz w:val="16"/>
          <w:szCs w:val="16"/>
        </w:rPr>
        <w:t xml:space="preserve"> </w:t>
      </w:r>
      <w:r w:rsidRPr="00EF57C0">
        <w:rPr>
          <w:sz w:val="16"/>
          <w:szCs w:val="16"/>
        </w:rPr>
        <w:t xml:space="preserve"> E-Mail: georg.fette@uni-wuerzburg.de</w:t>
      </w:r>
    </w:p>
  </w:footnote>
  <w:footnote w:id="2">
    <w:p w:rsidR="006D6739" w:rsidRPr="00D71260" w:rsidRDefault="006D6739" w:rsidP="001C6B4C">
      <w:pPr>
        <w:pStyle w:val="Footnote"/>
        <w:rPr>
          <w:lang w:val="de-DE"/>
        </w:rPr>
      </w:pPr>
      <w:r>
        <w:rPr>
          <w:rStyle w:val="Funotenzeichen"/>
        </w:rPr>
        <w:footnoteRef/>
      </w:r>
      <w:r>
        <w:t xml:space="preserve"> </w:t>
      </w:r>
      <w:r>
        <w:rPr>
          <w:rStyle w:val="HTMLZitat"/>
        </w:rPr>
        <w:t>https://www.talend.com/products/talend-open-studio/</w:t>
      </w:r>
    </w:p>
  </w:footnote>
  <w:footnote w:id="3">
    <w:p w:rsidR="001C6B4C" w:rsidRPr="001C6B4C" w:rsidRDefault="001C6B4C" w:rsidP="001C6B4C">
      <w:pPr>
        <w:pStyle w:val="Footnote"/>
        <w:rPr>
          <w:lang w:val="de-DE"/>
        </w:rPr>
      </w:pPr>
      <w:r>
        <w:rPr>
          <w:rStyle w:val="Funotenzeichen"/>
        </w:rPr>
        <w:footnoteRef/>
      </w:r>
      <w:r w:rsidRPr="001C6B4C">
        <w:rPr>
          <w:lang w:val="de-DE"/>
        </w:rPr>
        <w:t xml:space="preserve"> http://hl7.org/fhir/us/qicore</w:t>
      </w:r>
    </w:p>
  </w:footnote>
  <w:footnote w:id="4">
    <w:p w:rsidR="001C6B4C" w:rsidRPr="001C6B4C" w:rsidRDefault="001C6B4C" w:rsidP="001C6B4C">
      <w:pPr>
        <w:pStyle w:val="Footnote"/>
        <w:rPr>
          <w:lang w:val="de-DE"/>
        </w:rPr>
      </w:pPr>
      <w:r>
        <w:rPr>
          <w:rStyle w:val="Funotenzeichen"/>
        </w:rPr>
        <w:footnoteRef/>
      </w:r>
      <w:r w:rsidRPr="001C6B4C">
        <w:rPr>
          <w:lang w:val="de-DE"/>
        </w:rPr>
        <w:t xml:space="preserve"> https://www.ohdsi.org/data-standardization/the-common-data-model/</w:t>
      </w:r>
    </w:p>
  </w:footnote>
  <w:footnote w:id="5">
    <w:p w:rsidR="001C6B4C" w:rsidRPr="001C6B4C" w:rsidRDefault="001C6B4C" w:rsidP="001C6B4C">
      <w:pPr>
        <w:pStyle w:val="Footnote"/>
        <w:rPr>
          <w:lang w:val="de-DE"/>
        </w:rPr>
      </w:pPr>
      <w:r>
        <w:rPr>
          <w:rStyle w:val="Funotenzeichen"/>
        </w:rPr>
        <w:footnoteRef/>
      </w:r>
      <w:r w:rsidRPr="001C6B4C">
        <w:rPr>
          <w:lang w:val="de-DE"/>
        </w:rPr>
        <w:t xml:space="preserve"> http://www.pcornet.org/pcornet-common-data-model/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EC8536"/>
    <w:lvl w:ilvl="0">
      <w:start w:val="1"/>
      <w:numFmt w:val="decimal"/>
      <w:pStyle w:val="Listennummer"/>
      <w:lvlText w:val="%1."/>
      <w:lvlJc w:val="left"/>
      <w:pPr>
        <w:tabs>
          <w:tab w:val="num" w:pos="360"/>
        </w:tabs>
        <w:ind w:left="360" w:hanging="360"/>
      </w:pPr>
    </w:lvl>
  </w:abstractNum>
  <w:abstractNum w:abstractNumId="1" w15:restartNumberingAfterBreak="0">
    <w:nsid w:val="2853357A"/>
    <w:multiLevelType w:val="multilevel"/>
    <w:tmpl w:val="FAAA08D2"/>
    <w:lvl w:ilvl="0">
      <w:start w:val="1"/>
      <w:numFmt w:val="decimal"/>
      <w:lvlText w:val="[%1]"/>
      <w:lvlJc w:val="left"/>
      <w:pPr>
        <w:tabs>
          <w:tab w:val="num" w:pos="360"/>
        </w:tabs>
        <w:ind w:left="312" w:hanging="312"/>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0BB51F1"/>
    <w:multiLevelType w:val="multilevel"/>
    <w:tmpl w:val="55AC1C64"/>
    <w:lvl w:ilvl="0">
      <w:start w:val="1"/>
      <w:numFmt w:val="decimal"/>
      <w:pStyle w:val="Listbul"/>
      <w:lvlText w:val="%1."/>
      <w:lvlJc w:val="left"/>
      <w:pPr>
        <w:tabs>
          <w:tab w:val="num" w:pos="717"/>
        </w:tabs>
        <w:ind w:left="717" w:hanging="360"/>
      </w:pPr>
      <w:rPr>
        <w:rFonts w:ascii="Times New Roman" w:eastAsia="MS Mincho" w:hAnsi="Times New Roman" w:cs="Times New Roman"/>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3" w15:restartNumberingAfterBreak="0">
    <w:nsid w:val="57B032BB"/>
    <w:multiLevelType w:val="multilevel"/>
    <w:tmpl w:val="88DE16C6"/>
    <w:lvl w:ilvl="0">
      <w:start w:val="1"/>
      <w:numFmt w:val="bullet"/>
      <w:pStyle w:val="LISTdash"/>
      <w:lvlText w:val=""/>
      <w:lvlJc w:val="left"/>
      <w:pPr>
        <w:tabs>
          <w:tab w:val="num" w:pos="564"/>
        </w:tabs>
        <w:ind w:left="454" w:hanging="250"/>
      </w:pPr>
      <w:rPr>
        <w:rFonts w:ascii="Symbol" w:hAnsi="Symbol" w:hint="default"/>
        <w:b/>
        <w:i w:val="0"/>
        <w:caps w:val="0"/>
        <w:strike w:val="0"/>
        <w:dstrike w:val="0"/>
        <w:outline w:val="0"/>
        <w:shadow w:val="0"/>
        <w:spacing w:val="0"/>
        <w:kern w:val="28"/>
        <w:position w:val="0"/>
        <w:sz w:val="20"/>
        <w:u w:val="none"/>
        <w:vertAlign w:val="baseline"/>
        <w:em w:val="none"/>
      </w:rPr>
    </w:lvl>
    <w:lvl w:ilvl="1">
      <w:start w:val="1"/>
      <w:numFmt w:val="bullet"/>
      <w:lvlText w:val=""/>
      <w:lvlJc w:val="left"/>
      <w:pPr>
        <w:tabs>
          <w:tab w:val="num" w:pos="814"/>
        </w:tabs>
        <w:ind w:left="794" w:hanging="340"/>
      </w:pPr>
      <w:rPr>
        <w:rFonts w:ascii="Symbol" w:hAnsi="Symbol" w:hint="default"/>
        <w:b w:val="0"/>
        <w:i w:val="0"/>
        <w:sz w:val="20"/>
      </w:rPr>
    </w:lvl>
    <w:lvl w:ilvl="2">
      <w:start w:val="1"/>
      <w:numFmt w:val="bullet"/>
      <w:lvlText w:val=""/>
      <w:lvlJc w:val="left"/>
      <w:pPr>
        <w:tabs>
          <w:tab w:val="num" w:pos="927"/>
        </w:tabs>
        <w:ind w:left="204" w:firstLine="363"/>
      </w:pPr>
      <w:rPr>
        <w:rFonts w:ascii="Symbol" w:hAnsi="Symbol" w:hint="default"/>
        <w:b w:val="0"/>
        <w:i/>
        <w:sz w:val="24"/>
      </w:rPr>
    </w:lvl>
    <w:lvl w:ilvl="3">
      <w:start w:val="1"/>
      <w:numFmt w:val="decimal"/>
      <w:suff w:val="space"/>
      <w:lvlText w:val="%1.%2.%3.%4."/>
      <w:lvlJc w:val="left"/>
      <w:pPr>
        <w:ind w:left="204" w:firstLine="0"/>
      </w:pPr>
      <w:rPr>
        <w:rFonts w:ascii="Times" w:hAnsi="Times" w:hint="default"/>
        <w:b w:val="0"/>
        <w:i/>
        <w:sz w:val="24"/>
      </w:rPr>
    </w:lvl>
    <w:lvl w:ilvl="4">
      <w:start w:val="1"/>
      <w:numFmt w:val="none"/>
      <w:suff w:val="nothing"/>
      <w:lvlText w:val=""/>
      <w:lvlJc w:val="left"/>
      <w:pPr>
        <w:ind w:left="204" w:firstLine="0"/>
      </w:pPr>
      <w:rPr>
        <w:rFonts w:hint="default"/>
      </w:rPr>
    </w:lvl>
    <w:lvl w:ilvl="5">
      <w:start w:val="1"/>
      <w:numFmt w:val="none"/>
      <w:suff w:val="nothing"/>
      <w:lvlText w:val=""/>
      <w:lvlJc w:val="left"/>
      <w:pPr>
        <w:ind w:left="105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4" w15:restartNumberingAfterBreak="0">
    <w:nsid w:val="581D0CC1"/>
    <w:multiLevelType w:val="multilevel"/>
    <w:tmpl w:val="47DE6CBE"/>
    <w:lvl w:ilvl="0">
      <w:start w:val="1"/>
      <w:numFmt w:val="decimal"/>
      <w:lvlText w:val="[%1]"/>
      <w:lvlJc w:val="left"/>
      <w:pPr>
        <w:tabs>
          <w:tab w:val="num" w:pos="360"/>
        </w:tabs>
        <w:ind w:left="312" w:hanging="31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C631C2C"/>
    <w:multiLevelType w:val="hybridMultilevel"/>
    <w:tmpl w:val="F79A5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426C2F"/>
    <w:multiLevelType w:val="hybridMultilevel"/>
    <w:tmpl w:val="2EB08300"/>
    <w:lvl w:ilvl="0" w:tplc="2D9ABB34">
      <w:start w:val="1"/>
      <w:numFmt w:val="lowerLetter"/>
      <w:pStyle w:val="LISTalph"/>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15:restartNumberingAfterBreak="0">
    <w:nsid w:val="63CA79E0"/>
    <w:multiLevelType w:val="multilevel"/>
    <w:tmpl w:val="F370C5B4"/>
    <w:lvl w:ilvl="0">
      <w:start w:val="1"/>
      <w:numFmt w:val="decimal"/>
      <w:pStyle w:val="LISTnum"/>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BCB076B"/>
    <w:multiLevelType w:val="multilevel"/>
    <w:tmpl w:val="A13E33BA"/>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9" w15:restartNumberingAfterBreak="0">
    <w:nsid w:val="749D7927"/>
    <w:multiLevelType w:val="multilevel"/>
    <w:tmpl w:val="1F9C18A8"/>
    <w:lvl w:ilvl="0">
      <w:start w:val="1"/>
      <w:numFmt w:val="decimal"/>
      <w:pStyle w:val="berschrift1"/>
      <w:suff w:val="space"/>
      <w:lvlText w:val="%1."/>
      <w:lvlJc w:val="left"/>
      <w:pPr>
        <w:ind w:left="454" w:hanging="454"/>
      </w:pPr>
      <w:rPr>
        <w:rFonts w:ascii="Times New Roman" w:hAnsi="Times New Roman" w:hint="default"/>
        <w:b/>
        <w:i w:val="0"/>
        <w:caps w:val="0"/>
        <w:strike w:val="0"/>
        <w:dstrike w:val="0"/>
        <w:outline w:val="0"/>
        <w:shadow w:val="0"/>
        <w:spacing w:val="0"/>
        <w:kern w:val="28"/>
        <w:position w:val="0"/>
        <w:sz w:val="20"/>
        <w:u w:val="none"/>
        <w:vertAlign w:val="baseline"/>
        <w:em w:val="none"/>
      </w:rPr>
    </w:lvl>
    <w:lvl w:ilvl="1">
      <w:start w:val="1"/>
      <w:numFmt w:val="decimal"/>
      <w:pStyle w:val="berschrift2"/>
      <w:suff w:val="space"/>
      <w:lvlText w:val="%1.%2."/>
      <w:lvlJc w:val="left"/>
      <w:pPr>
        <w:ind w:left="0" w:firstLine="0"/>
      </w:pPr>
      <w:rPr>
        <w:rFonts w:ascii="Times New Roman" w:hAnsi="Times New Roman" w:hint="default"/>
        <w:b w:val="0"/>
        <w:i/>
        <w:sz w:val="20"/>
      </w:rPr>
    </w:lvl>
    <w:lvl w:ilvl="2">
      <w:start w:val="1"/>
      <w:numFmt w:val="decimal"/>
      <w:pStyle w:val="berschrift3"/>
      <w:suff w:val="space"/>
      <w:lvlText w:val="%1.%2.%3."/>
      <w:lvlJc w:val="left"/>
      <w:pPr>
        <w:ind w:left="0" w:firstLine="0"/>
      </w:pPr>
      <w:rPr>
        <w:rFonts w:ascii="Times" w:hAnsi="Times" w:hint="default"/>
        <w:b w:val="0"/>
        <w:i/>
        <w:sz w:val="20"/>
      </w:rPr>
    </w:lvl>
    <w:lvl w:ilvl="3">
      <w:start w:val="1"/>
      <w:numFmt w:val="decimal"/>
      <w:pStyle w:val="berschrift4"/>
      <w:suff w:val="space"/>
      <w:lvlText w:val="%1.%2.%3.%4."/>
      <w:lvlJc w:val="left"/>
      <w:pPr>
        <w:ind w:left="0" w:firstLine="0"/>
      </w:pPr>
      <w:rPr>
        <w:rFonts w:ascii="Times" w:hAnsi="Times" w:hint="default"/>
        <w:b w:val="0"/>
        <w:i/>
        <w:sz w:val="20"/>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0" w15:restartNumberingAfterBreak="0">
    <w:nsid w:val="76F27992"/>
    <w:multiLevelType w:val="hybridMultilevel"/>
    <w:tmpl w:val="8E28FDE8"/>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9"/>
  </w:num>
  <w:num w:numId="5">
    <w:abstractNumId w:val="2"/>
  </w:num>
  <w:num w:numId="6">
    <w:abstractNumId w:val="7"/>
  </w:num>
  <w:num w:numId="7">
    <w:abstractNumId w:val="10"/>
  </w:num>
  <w:num w:numId="8">
    <w:abstractNumId w:val="4"/>
  </w:num>
  <w:num w:numId="9">
    <w:abstractNumId w:val="10"/>
  </w:num>
  <w:num w:numId="10">
    <w:abstractNumId w:val="1"/>
  </w:num>
  <w:num w:numId="11">
    <w:abstractNumId w:val="10"/>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attachedTemplate r:id="rId1"/>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291"/>
    <w:rsid w:val="0000203B"/>
    <w:rsid w:val="00033B3F"/>
    <w:rsid w:val="00040545"/>
    <w:rsid w:val="00074063"/>
    <w:rsid w:val="00077B1D"/>
    <w:rsid w:val="000B502B"/>
    <w:rsid w:val="000E41EB"/>
    <w:rsid w:val="001276A5"/>
    <w:rsid w:val="00145935"/>
    <w:rsid w:val="00157BD3"/>
    <w:rsid w:val="00190CC7"/>
    <w:rsid w:val="00191723"/>
    <w:rsid w:val="001C3EF0"/>
    <w:rsid w:val="001C6B4C"/>
    <w:rsid w:val="001E1FCF"/>
    <w:rsid w:val="00223D70"/>
    <w:rsid w:val="00291640"/>
    <w:rsid w:val="002945F9"/>
    <w:rsid w:val="002F5D88"/>
    <w:rsid w:val="00301689"/>
    <w:rsid w:val="0030307E"/>
    <w:rsid w:val="00325CBA"/>
    <w:rsid w:val="00381F8D"/>
    <w:rsid w:val="00421748"/>
    <w:rsid w:val="00432ADF"/>
    <w:rsid w:val="004509D7"/>
    <w:rsid w:val="00472291"/>
    <w:rsid w:val="004E0DF2"/>
    <w:rsid w:val="0051059A"/>
    <w:rsid w:val="00515455"/>
    <w:rsid w:val="005D071D"/>
    <w:rsid w:val="005E6F16"/>
    <w:rsid w:val="006161C2"/>
    <w:rsid w:val="00631672"/>
    <w:rsid w:val="00632A35"/>
    <w:rsid w:val="006D6739"/>
    <w:rsid w:val="006E09EF"/>
    <w:rsid w:val="006F1C3F"/>
    <w:rsid w:val="007115AA"/>
    <w:rsid w:val="00716FA2"/>
    <w:rsid w:val="00722254"/>
    <w:rsid w:val="00753D62"/>
    <w:rsid w:val="00791773"/>
    <w:rsid w:val="00855EDD"/>
    <w:rsid w:val="008874AF"/>
    <w:rsid w:val="008A22E6"/>
    <w:rsid w:val="0096523C"/>
    <w:rsid w:val="00965FEB"/>
    <w:rsid w:val="009867C1"/>
    <w:rsid w:val="009B491B"/>
    <w:rsid w:val="009E3596"/>
    <w:rsid w:val="009F3878"/>
    <w:rsid w:val="00A04478"/>
    <w:rsid w:val="00A928D6"/>
    <w:rsid w:val="00B05D6E"/>
    <w:rsid w:val="00B5700F"/>
    <w:rsid w:val="00B743BD"/>
    <w:rsid w:val="00B9033E"/>
    <w:rsid w:val="00BC472C"/>
    <w:rsid w:val="00BD75E6"/>
    <w:rsid w:val="00BF4CA4"/>
    <w:rsid w:val="00C54018"/>
    <w:rsid w:val="00C56F7E"/>
    <w:rsid w:val="00C67B1C"/>
    <w:rsid w:val="00C70506"/>
    <w:rsid w:val="00C97D11"/>
    <w:rsid w:val="00CB2E62"/>
    <w:rsid w:val="00CF5C91"/>
    <w:rsid w:val="00D42F02"/>
    <w:rsid w:val="00D64CE7"/>
    <w:rsid w:val="00D82BC9"/>
    <w:rsid w:val="00DB336F"/>
    <w:rsid w:val="00DB4F11"/>
    <w:rsid w:val="00DC730B"/>
    <w:rsid w:val="00DE123B"/>
    <w:rsid w:val="00DE30B2"/>
    <w:rsid w:val="00DF6093"/>
    <w:rsid w:val="00E100F4"/>
    <w:rsid w:val="00E3488C"/>
    <w:rsid w:val="00E57ABF"/>
    <w:rsid w:val="00E704E9"/>
    <w:rsid w:val="00E76881"/>
    <w:rsid w:val="00E92F6E"/>
    <w:rsid w:val="00EC5576"/>
    <w:rsid w:val="00EF57C0"/>
    <w:rsid w:val="00F07FC3"/>
    <w:rsid w:val="00F7198D"/>
    <w:rsid w:val="00F80322"/>
    <w:rsid w:val="00F92A23"/>
    <w:rsid w:val="00F972A2"/>
    <w:rsid w:val="00FA1FA2"/>
    <w:rsid w:val="00FB74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68D346"/>
  <w15:chartTrackingRefBased/>
  <w15:docId w15:val="{EBC3D002-CABA-4A92-940C-C64BD377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firstLine="357"/>
      <w:jc w:val="both"/>
    </w:pPr>
    <w:rPr>
      <w:szCs w:val="24"/>
      <w:lang w:eastAsia="ja-JP"/>
    </w:rPr>
  </w:style>
  <w:style w:type="paragraph" w:styleId="berschrift1">
    <w:name w:val="heading 1"/>
    <w:basedOn w:val="Standard"/>
    <w:next w:val="NoindentNormal"/>
    <w:link w:val="berschrift1Zchn"/>
    <w:qFormat/>
    <w:pPr>
      <w:keepNext/>
      <w:keepLines/>
      <w:numPr>
        <w:numId w:val="4"/>
      </w:numPr>
      <w:suppressAutoHyphens/>
      <w:spacing w:before="480" w:after="240"/>
      <w:jc w:val="left"/>
      <w:outlineLvl w:val="0"/>
    </w:pPr>
    <w:rPr>
      <w:rFonts w:cs="Arial"/>
      <w:b/>
      <w:bCs/>
      <w:kern w:val="32"/>
      <w:szCs w:val="32"/>
    </w:rPr>
  </w:style>
  <w:style w:type="paragraph" w:styleId="berschrift2">
    <w:name w:val="heading 2"/>
    <w:basedOn w:val="Standard"/>
    <w:next w:val="NoindentNormal"/>
    <w:qFormat/>
    <w:pPr>
      <w:keepNext/>
      <w:keepLines/>
      <w:numPr>
        <w:ilvl w:val="1"/>
        <w:numId w:val="4"/>
      </w:numPr>
      <w:suppressAutoHyphens/>
      <w:spacing w:before="240" w:after="240"/>
      <w:jc w:val="left"/>
      <w:outlineLvl w:val="1"/>
    </w:pPr>
    <w:rPr>
      <w:rFonts w:cs="Arial"/>
      <w:bCs/>
      <w:i/>
      <w:iCs/>
      <w:szCs w:val="28"/>
    </w:rPr>
  </w:style>
  <w:style w:type="paragraph" w:styleId="berschrift3">
    <w:name w:val="heading 3"/>
    <w:basedOn w:val="Standard"/>
    <w:next w:val="NoindentNormal"/>
    <w:qFormat/>
    <w:pPr>
      <w:keepNext/>
      <w:keepLines/>
      <w:numPr>
        <w:ilvl w:val="2"/>
        <w:numId w:val="4"/>
      </w:numPr>
      <w:suppressAutoHyphens/>
      <w:spacing w:before="240" w:after="120"/>
      <w:jc w:val="left"/>
      <w:outlineLvl w:val="2"/>
    </w:pPr>
    <w:rPr>
      <w:rFonts w:cs="Arial"/>
      <w:bCs/>
      <w:i/>
      <w:szCs w:val="26"/>
    </w:rPr>
  </w:style>
  <w:style w:type="paragraph" w:styleId="berschrift4">
    <w:name w:val="heading 4"/>
    <w:basedOn w:val="Standard"/>
    <w:next w:val="NoindentNormal"/>
    <w:qFormat/>
    <w:pPr>
      <w:keepNext/>
      <w:numPr>
        <w:ilvl w:val="3"/>
        <w:numId w:val="4"/>
      </w:numPr>
      <w:suppressAutoHyphens/>
      <w:spacing w:before="120"/>
      <w:jc w:val="left"/>
      <w:outlineLvl w:val="3"/>
    </w:pPr>
    <w:rPr>
      <w:bCs/>
      <w:i/>
      <w:szCs w:val="28"/>
    </w:rPr>
  </w:style>
  <w:style w:type="paragraph" w:styleId="berschrift5">
    <w:name w:val="heading 5"/>
    <w:basedOn w:val="Standard"/>
    <w:next w:val="NoindentNormal"/>
    <w:qFormat/>
    <w:pPr>
      <w:numPr>
        <w:ilvl w:val="4"/>
        <w:numId w:val="4"/>
      </w:numPr>
      <w:jc w:val="left"/>
      <w:outlineLvl w:val="4"/>
    </w:pPr>
    <w:rPr>
      <w:bCs/>
      <w:i/>
      <w:iCs/>
      <w:szCs w:val="26"/>
    </w:rPr>
  </w:style>
  <w:style w:type="paragraph" w:styleId="berschrift6">
    <w:name w:val="heading 6"/>
    <w:basedOn w:val="Standard"/>
    <w:next w:val="Standard"/>
    <w:qFormat/>
    <w:pPr>
      <w:numPr>
        <w:ilvl w:val="5"/>
        <w:numId w:val="4"/>
      </w:numPr>
      <w:spacing w:before="240"/>
      <w:outlineLvl w:val="5"/>
    </w:pPr>
    <w:rPr>
      <w:bCs/>
      <w:szCs w:val="22"/>
    </w:rPr>
  </w:style>
  <w:style w:type="paragraph" w:styleId="berschrift7">
    <w:name w:val="heading 7"/>
    <w:basedOn w:val="Standard"/>
    <w:next w:val="Standard"/>
    <w:qFormat/>
    <w:pPr>
      <w:spacing w:before="240" w:after="60"/>
      <w:outlineLvl w:val="6"/>
    </w:pPr>
    <w:rPr>
      <w:sz w:val="24"/>
    </w:rPr>
  </w:style>
  <w:style w:type="paragraph" w:styleId="berschrift8">
    <w:name w:val="heading 8"/>
    <w:basedOn w:val="Standard"/>
    <w:next w:val="Standard"/>
    <w:qFormat/>
    <w:pPr>
      <w:spacing w:before="240" w:after="60"/>
      <w:outlineLvl w:val="7"/>
    </w:pPr>
    <w:rPr>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indentNormal">
    <w:name w:val="NoindentNormal"/>
    <w:basedOn w:val="Standard"/>
    <w:next w:val="Standard"/>
    <w:pPr>
      <w:ind w:firstLine="0"/>
    </w:pPr>
  </w:style>
  <w:style w:type="paragraph" w:customStyle="1" w:styleId="Zitat1">
    <w:name w:val="Zitat1"/>
    <w:basedOn w:val="Standard"/>
    <w:pPr>
      <w:ind w:left="204"/>
    </w:pPr>
    <w:rPr>
      <w:sz w:val="18"/>
    </w:rPr>
  </w:style>
  <w:style w:type="paragraph" w:customStyle="1" w:styleId="Abstract">
    <w:name w:val="Abstract"/>
    <w:basedOn w:val="Standard"/>
    <w:pPr>
      <w:adjustRightInd w:val="0"/>
      <w:snapToGrid w:val="0"/>
      <w:spacing w:before="480"/>
      <w:ind w:left="851" w:right="851" w:firstLine="0"/>
    </w:pPr>
    <w:rPr>
      <w:sz w:val="16"/>
    </w:rPr>
  </w:style>
  <w:style w:type="paragraph" w:customStyle="1" w:styleId="Affiliation">
    <w:name w:val="Affiliation"/>
    <w:basedOn w:val="Standard"/>
    <w:pPr>
      <w:ind w:firstLine="0"/>
      <w:jc w:val="center"/>
    </w:pPr>
    <w:rPr>
      <w:i/>
    </w:rPr>
  </w:style>
  <w:style w:type="paragraph" w:customStyle="1" w:styleId="Equation">
    <w:name w:val="Equation"/>
    <w:basedOn w:val="Standard"/>
    <w:pPr>
      <w:tabs>
        <w:tab w:val="left" w:pos="6781"/>
      </w:tabs>
      <w:spacing w:before="240" w:after="240"/>
      <w:ind w:left="454" w:firstLine="0"/>
      <w:jc w:val="left"/>
    </w:pPr>
  </w:style>
  <w:style w:type="paragraph" w:customStyle="1" w:styleId="Footnote">
    <w:name w:val="Footnote"/>
    <w:basedOn w:val="Standard"/>
    <w:pPr>
      <w:ind w:firstLine="136"/>
    </w:pPr>
    <w:rPr>
      <w:sz w:val="16"/>
    </w:rPr>
  </w:style>
  <w:style w:type="paragraph" w:customStyle="1" w:styleId="LISTalph">
    <w:name w:val="LISTalph"/>
    <w:basedOn w:val="Standard"/>
    <w:pPr>
      <w:numPr>
        <w:numId w:val="1"/>
      </w:numPr>
      <w:tabs>
        <w:tab w:val="left" w:pos="499"/>
      </w:tabs>
    </w:pPr>
  </w:style>
  <w:style w:type="paragraph" w:customStyle="1" w:styleId="LISTdash">
    <w:name w:val="LISTdash"/>
    <w:basedOn w:val="Standard"/>
    <w:pPr>
      <w:numPr>
        <w:numId w:val="2"/>
      </w:numPr>
      <w:tabs>
        <w:tab w:val="left" w:pos="454"/>
      </w:tabs>
      <w:adjustRightInd w:val="0"/>
      <w:snapToGrid w:val="0"/>
    </w:pPr>
  </w:style>
  <w:style w:type="paragraph" w:customStyle="1" w:styleId="LISTnum">
    <w:name w:val="LISTnum"/>
    <w:basedOn w:val="Standard"/>
    <w:pPr>
      <w:numPr>
        <w:numId w:val="6"/>
      </w:numPr>
      <w:adjustRightInd w:val="0"/>
      <w:snapToGrid w:val="0"/>
      <w:ind w:left="714" w:hanging="357"/>
    </w:pPr>
  </w:style>
  <w:style w:type="paragraph" w:customStyle="1" w:styleId="References">
    <w:name w:val="References"/>
    <w:basedOn w:val="Standard"/>
    <w:pPr>
      <w:numPr>
        <w:numId w:val="9"/>
      </w:numPr>
      <w:tabs>
        <w:tab w:val="left" w:pos="85"/>
      </w:tabs>
    </w:pPr>
    <w:rPr>
      <w:sz w:val="16"/>
    </w:rPr>
  </w:style>
  <w:style w:type="paragraph" w:customStyle="1" w:styleId="Table">
    <w:name w:val="Table"/>
    <w:basedOn w:val="Standard"/>
    <w:pPr>
      <w:spacing w:before="60" w:after="60"/>
      <w:ind w:firstLine="0"/>
      <w:jc w:val="left"/>
    </w:pPr>
    <w:rPr>
      <w:sz w:val="16"/>
    </w:rPr>
  </w:style>
  <w:style w:type="paragraph" w:styleId="Titel">
    <w:name w:val="Title"/>
    <w:basedOn w:val="Standard"/>
    <w:next w:val="Standard"/>
    <w:link w:val="TitelZchn"/>
    <w:qFormat/>
    <w:pPr>
      <w:spacing w:before="480" w:after="320"/>
      <w:ind w:firstLine="0"/>
      <w:jc w:val="center"/>
    </w:pPr>
    <w:rPr>
      <w:noProof/>
      <w:kern w:val="28"/>
      <w:sz w:val="40"/>
    </w:rPr>
  </w:style>
  <w:style w:type="paragraph" w:customStyle="1" w:styleId="Author">
    <w:name w:val="Author"/>
    <w:basedOn w:val="Standard"/>
    <w:pPr>
      <w:ind w:firstLine="0"/>
      <w:jc w:val="center"/>
    </w:pPr>
  </w:style>
  <w:style w:type="paragraph" w:styleId="Beschriftung">
    <w:name w:val="caption"/>
    <w:basedOn w:val="Standard"/>
    <w:next w:val="Standard"/>
    <w:qFormat/>
    <w:pPr>
      <w:spacing w:before="80" w:after="80"/>
      <w:ind w:firstLine="0"/>
    </w:pPr>
    <w:rPr>
      <w:sz w:val="16"/>
    </w:rPr>
  </w:style>
  <w:style w:type="paragraph" w:customStyle="1" w:styleId="LISTDescription">
    <w:name w:val="LISTDescription"/>
    <w:basedOn w:val="Standard"/>
    <w:pPr>
      <w:ind w:left="454" w:hanging="454"/>
    </w:pPr>
  </w:style>
  <w:style w:type="paragraph" w:customStyle="1" w:styleId="Notes">
    <w:name w:val="Notes"/>
    <w:basedOn w:val="Standard"/>
    <w:rPr>
      <w:sz w:val="16"/>
    </w:rPr>
  </w:style>
  <w:style w:type="paragraph" w:styleId="Textkrper">
    <w:name w:val="Body Text"/>
    <w:basedOn w:val="Standard"/>
    <w:semiHidden/>
    <w:pPr>
      <w:spacing w:after="120"/>
    </w:pPr>
  </w:style>
  <w:style w:type="paragraph" w:customStyle="1" w:styleId="CaptionLong">
    <w:name w:val="CaptionLong"/>
    <w:basedOn w:val="Standard"/>
    <w:pPr>
      <w:spacing w:before="80" w:after="80"/>
      <w:ind w:firstLine="0"/>
    </w:pPr>
    <w:rPr>
      <w:sz w:val="16"/>
    </w:rPr>
  </w:style>
  <w:style w:type="paragraph" w:customStyle="1" w:styleId="HeadingUnn1">
    <w:name w:val="HeadingUnn1"/>
    <w:basedOn w:val="berschrift1"/>
    <w:next w:val="NoindentNormal"/>
    <w:pPr>
      <w:numPr>
        <w:numId w:val="0"/>
      </w:numPr>
    </w:pPr>
    <w:rPr>
      <w:bCs w:val="0"/>
    </w:rPr>
  </w:style>
  <w:style w:type="paragraph" w:customStyle="1" w:styleId="HeadingUnn2">
    <w:name w:val="HeadingUnn2"/>
    <w:basedOn w:val="berschrift2"/>
    <w:next w:val="NoindentNormal"/>
    <w:pPr>
      <w:numPr>
        <w:ilvl w:val="0"/>
        <w:numId w:val="0"/>
      </w:numPr>
    </w:pPr>
  </w:style>
  <w:style w:type="paragraph" w:customStyle="1" w:styleId="HeadingUnn3">
    <w:name w:val="HeadingUnn3"/>
    <w:basedOn w:val="berschrift3"/>
    <w:next w:val="NoindentNormal"/>
    <w:pPr>
      <w:numPr>
        <w:ilvl w:val="0"/>
        <w:numId w:val="0"/>
      </w:numPr>
    </w:pPr>
  </w:style>
  <w:style w:type="paragraph" w:customStyle="1" w:styleId="HeadingUnn4">
    <w:name w:val="HeadingUnn4"/>
    <w:basedOn w:val="berschrift4"/>
    <w:next w:val="NoindentNormal"/>
    <w:pPr>
      <w:numPr>
        <w:ilvl w:val="0"/>
        <w:numId w:val="0"/>
      </w:numPr>
    </w:pPr>
  </w:style>
  <w:style w:type="paragraph" w:customStyle="1" w:styleId="HeadingUnn5">
    <w:name w:val="HeadingUnn5"/>
    <w:basedOn w:val="berschrift5"/>
    <w:next w:val="Standard"/>
    <w:pPr>
      <w:numPr>
        <w:ilvl w:val="0"/>
        <w:numId w:val="0"/>
      </w:numPr>
      <w:spacing w:before="120"/>
    </w:pPr>
  </w:style>
  <w:style w:type="paragraph" w:styleId="Listennummer">
    <w:name w:val="List Number"/>
    <w:basedOn w:val="Standard"/>
    <w:semiHidden/>
    <w:pPr>
      <w:numPr>
        <w:numId w:val="3"/>
      </w:numPr>
    </w:pPr>
  </w:style>
  <w:style w:type="paragraph" w:customStyle="1" w:styleId="CaptionShort">
    <w:name w:val="CaptionShort"/>
    <w:basedOn w:val="Standard"/>
    <w:pPr>
      <w:spacing w:before="80" w:after="80"/>
      <w:ind w:firstLine="0"/>
      <w:jc w:val="center"/>
    </w:pPr>
    <w:rPr>
      <w:sz w:val="16"/>
    </w:rPr>
  </w:style>
  <w:style w:type="paragraph" w:customStyle="1" w:styleId="Listbul">
    <w:name w:val="Listbul"/>
    <w:basedOn w:val="Standard"/>
    <w:pPr>
      <w:numPr>
        <w:numId w:val="5"/>
      </w:numPr>
    </w:pPr>
  </w:style>
  <w:style w:type="paragraph" w:customStyle="1" w:styleId="Keywords">
    <w:name w:val="Keywords"/>
    <w:basedOn w:val="Abstract"/>
    <w:next w:val="berschrift1"/>
    <w:pPr>
      <w:spacing w:before="240" w:after="240"/>
    </w:pPr>
  </w:style>
  <w:style w:type="paragraph" w:styleId="Funotentext">
    <w:name w:val="footnote text"/>
    <w:basedOn w:val="Standard"/>
    <w:link w:val="FunotentextZchn"/>
    <w:semiHidden/>
    <w:rPr>
      <w:szCs w:val="20"/>
    </w:rPr>
  </w:style>
  <w:style w:type="character" w:styleId="Funotenzeichen">
    <w:name w:val="footnote reference"/>
    <w:semiHidden/>
    <w:rPr>
      <w:vertAlign w:val="superscript"/>
    </w:rPr>
  </w:style>
  <w:style w:type="character" w:customStyle="1" w:styleId="FootnoteChar">
    <w:name w:val="Footnote Char"/>
    <w:rPr>
      <w:rFonts w:eastAsia="MS Mincho"/>
      <w:sz w:val="16"/>
      <w:szCs w:val="24"/>
      <w:lang w:val="en-US" w:eastAsia="ja-JP" w:bidi="ar-SA"/>
    </w:rPr>
  </w:style>
  <w:style w:type="character" w:customStyle="1" w:styleId="MTEquationSection">
    <w:name w:val="MTEquationSection"/>
    <w:rPr>
      <w:i/>
      <w:vanish/>
      <w:color w:val="FF0000"/>
    </w:rPr>
  </w:style>
  <w:style w:type="character" w:styleId="Hyperlink">
    <w:name w:val="Hyperlink"/>
    <w:uiPriority w:val="99"/>
    <w:unhideWhenUsed/>
    <w:rsid w:val="00040545"/>
    <w:rPr>
      <w:color w:val="0000FF"/>
      <w:u w:val="single"/>
    </w:rPr>
  </w:style>
  <w:style w:type="character" w:customStyle="1" w:styleId="TitelZchn">
    <w:name w:val="Titel Zchn"/>
    <w:link w:val="Titel"/>
    <w:rsid w:val="00472291"/>
    <w:rPr>
      <w:noProof/>
      <w:kern w:val="28"/>
      <w:sz w:val="40"/>
      <w:szCs w:val="24"/>
      <w:lang w:val="en-US" w:eastAsia="ja-JP"/>
    </w:rPr>
  </w:style>
  <w:style w:type="character" w:customStyle="1" w:styleId="berschrift1Zchn">
    <w:name w:val="Überschrift 1 Zchn"/>
    <w:link w:val="berschrift1"/>
    <w:rsid w:val="00472291"/>
    <w:rPr>
      <w:rFonts w:cs="Arial"/>
      <w:b/>
      <w:bCs/>
      <w:kern w:val="32"/>
      <w:szCs w:val="32"/>
      <w:lang w:val="en-US" w:eastAsia="ja-JP"/>
    </w:rPr>
  </w:style>
  <w:style w:type="character" w:customStyle="1" w:styleId="FunotentextZchn">
    <w:name w:val="Fußnotentext Zchn"/>
    <w:link w:val="Funotentext"/>
    <w:semiHidden/>
    <w:rsid w:val="00472291"/>
    <w:rPr>
      <w:lang w:val="en-US" w:eastAsia="ja-JP"/>
    </w:rPr>
  </w:style>
  <w:style w:type="character" w:styleId="HTMLZitat">
    <w:name w:val="HTML Cite"/>
    <w:uiPriority w:val="99"/>
    <w:semiHidden/>
    <w:unhideWhenUsed/>
    <w:rsid w:val="00472291"/>
    <w:rPr>
      <w:i/>
      <w:iCs/>
    </w:rPr>
  </w:style>
  <w:style w:type="table" w:styleId="Tabellenraster">
    <w:name w:val="Table Grid"/>
    <w:basedOn w:val="NormaleTabelle"/>
    <w:uiPriority w:val="39"/>
    <w:rsid w:val="004722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72291"/>
    <w:pPr>
      <w:spacing w:after="160" w:line="259" w:lineRule="auto"/>
      <w:ind w:left="720" w:firstLine="0"/>
      <w:contextualSpacing/>
      <w:jc w:val="left"/>
    </w:pPr>
    <w:rPr>
      <w:rFonts w:ascii="Calibri" w:eastAsia="Calibri" w:hAnsi="Calibri"/>
      <w:sz w:val="22"/>
      <w:szCs w:val="22"/>
      <w:lang w:val="de-DE" w:eastAsia="en-US"/>
    </w:rPr>
  </w:style>
  <w:style w:type="paragraph" w:styleId="Endnotentext">
    <w:name w:val="endnote text"/>
    <w:basedOn w:val="Standard"/>
    <w:link w:val="EndnotentextZchn"/>
    <w:uiPriority w:val="99"/>
    <w:semiHidden/>
    <w:unhideWhenUsed/>
    <w:rsid w:val="001E1FCF"/>
    <w:rPr>
      <w:szCs w:val="20"/>
    </w:rPr>
  </w:style>
  <w:style w:type="character" w:customStyle="1" w:styleId="EndnotentextZchn">
    <w:name w:val="Endnotentext Zchn"/>
    <w:link w:val="Endnotentext"/>
    <w:uiPriority w:val="99"/>
    <w:semiHidden/>
    <w:rsid w:val="001E1FCF"/>
    <w:rPr>
      <w:lang w:eastAsia="ja-JP"/>
    </w:rPr>
  </w:style>
  <w:style w:type="character" w:styleId="Endnotenzeichen">
    <w:name w:val="endnote reference"/>
    <w:uiPriority w:val="99"/>
    <w:semiHidden/>
    <w:unhideWhenUsed/>
    <w:rsid w:val="001E1F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Dokumente\OwnCloud\z_Papers\2017-Padawan-Import\IOSPressBookArticleWordTemplate-Originalwork.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43BE-C0A4-49F4-9AD6-82343AC7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IOSPressBookArticleWordTemplate-Originalwork.dot</Template>
  <TotalTime>0</TotalTime>
  <Pages>5</Pages>
  <Words>1997</Words>
  <Characters>12582</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VTEX</Company>
  <LinksUpToDate>false</LinksUpToDate>
  <CharactersWithSpaces>14550</CharactersWithSpaces>
  <SharedDoc>false</SharedDoc>
  <HLinks>
    <vt:vector size="24" baseType="variant">
      <vt:variant>
        <vt:i4>7012400</vt:i4>
      </vt:variant>
      <vt:variant>
        <vt:i4>15</vt:i4>
      </vt:variant>
      <vt:variant>
        <vt:i4>0</vt:i4>
      </vt:variant>
      <vt:variant>
        <vt:i4>5</vt:i4>
      </vt:variant>
      <vt:variant>
        <vt:lpwstr>http://icmje.org/conflicts-of-interest/</vt:lpwstr>
      </vt:variant>
      <vt:variant>
        <vt:lpwstr/>
      </vt:variant>
      <vt:variant>
        <vt:i4>2752556</vt:i4>
      </vt:variant>
      <vt:variant>
        <vt:i4>6</vt:i4>
      </vt:variant>
      <vt:variant>
        <vt:i4>0</vt:i4>
      </vt:variant>
      <vt:variant>
        <vt:i4>5</vt:i4>
      </vt:variant>
      <vt:variant>
        <vt:lpwstr>http://dx.doi.org/10.3414/ME10-01-0072</vt:lpwstr>
      </vt:variant>
      <vt:variant>
        <vt:lpwstr/>
      </vt:variant>
      <vt:variant>
        <vt:i4>2818110</vt:i4>
      </vt:variant>
      <vt:variant>
        <vt:i4>3</vt:i4>
      </vt:variant>
      <vt:variant>
        <vt:i4>0</vt:i4>
      </vt:variant>
      <vt:variant>
        <vt:i4>5</vt:i4>
      </vt:variant>
      <vt:variant>
        <vt:lpwstr>http://www.equator-network.org/</vt:lpwstr>
      </vt:variant>
      <vt:variant>
        <vt:lpwstr/>
      </vt:variant>
      <vt:variant>
        <vt:i4>6750250</vt:i4>
      </vt:variant>
      <vt:variant>
        <vt:i4>0</vt:i4>
      </vt:variant>
      <vt:variant>
        <vt:i4>0</vt:i4>
      </vt:variant>
      <vt:variant>
        <vt:i4>5</vt:i4>
      </vt:variant>
      <vt:variant>
        <vt:lpwstr>https://www.ncbi.nlm.nih.gov/mesh/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Fette, Georg</dc:creator>
  <cp:keywords/>
  <dc:description/>
  <cp:lastModifiedBy>Fette, Georg</cp:lastModifiedBy>
  <cp:revision>16</cp:revision>
  <cp:lastPrinted>2008-10-24T08:15:00Z</cp:lastPrinted>
  <dcterms:created xsi:type="dcterms:W3CDTF">2017-03-24T09:25:00Z</dcterms:created>
  <dcterms:modified xsi:type="dcterms:W3CDTF">2017-05-24T10:01:00Z</dcterms:modified>
</cp:coreProperties>
</file>